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20EC8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76"/>
        <w:gridCol w:w="1462"/>
        <w:gridCol w:w="7229"/>
      </w:tblGrid>
      <w:tr w:rsidR="007A0A3D" w:rsidRPr="002450C4" w14:paraId="29A8DA52" w14:textId="77777777" w:rsidTr="006A7EBF">
        <w:tc>
          <w:tcPr>
            <w:tcW w:w="376" w:type="dxa"/>
          </w:tcPr>
          <w:p w14:paraId="3E5DC3A2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462" w:type="dxa"/>
            <w:tcMar>
              <w:left w:w="57" w:type="dxa"/>
              <w:right w:w="57" w:type="dxa"/>
            </w:tcMar>
          </w:tcPr>
          <w:p w14:paraId="2E26E170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7229" w:type="dxa"/>
          </w:tcPr>
          <w:p w14:paraId="24A35962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46C31AA8" w14:textId="77777777" w:rsidTr="006A7EBF">
        <w:tc>
          <w:tcPr>
            <w:tcW w:w="376" w:type="dxa"/>
          </w:tcPr>
          <w:p w14:paraId="4DCC4DD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31D2E09C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7229" w:type="dxa"/>
          </w:tcPr>
          <w:p w14:paraId="01FFA0A9" w14:textId="77777777" w:rsidR="007A0A3D" w:rsidRPr="003630E7" w:rsidRDefault="00734EED" w:rsidP="0092099A">
            <w:pPr>
              <w:jc w:val="both"/>
              <w:rPr>
                <w:sz w:val="18"/>
                <w:szCs w:val="20"/>
              </w:rPr>
            </w:pPr>
            <w:r w:rsidRPr="003630E7">
              <w:rPr>
                <w:sz w:val="18"/>
                <w:szCs w:val="20"/>
              </w:rPr>
              <w:t>E-ZAMÓWIENIA – ELEKTRONICZNE ZAMÓWIENIA PUBLICZNE</w:t>
            </w:r>
          </w:p>
        </w:tc>
      </w:tr>
      <w:tr w:rsidR="007A0A3D" w:rsidRPr="002450C4" w14:paraId="23B29F0C" w14:textId="77777777" w:rsidTr="006A7EBF">
        <w:trPr>
          <w:trHeight w:val="265"/>
        </w:trPr>
        <w:tc>
          <w:tcPr>
            <w:tcW w:w="376" w:type="dxa"/>
          </w:tcPr>
          <w:p w14:paraId="45E27FC4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1D4C5FCA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7229" w:type="dxa"/>
          </w:tcPr>
          <w:p w14:paraId="16039D34" w14:textId="033F9BB3" w:rsidR="001C611C" w:rsidRPr="003630E7" w:rsidRDefault="00734EED" w:rsidP="0092099A">
            <w:pPr>
              <w:jc w:val="both"/>
              <w:rPr>
                <w:sz w:val="18"/>
                <w:szCs w:val="20"/>
              </w:rPr>
            </w:pPr>
            <w:r w:rsidRPr="003630E7">
              <w:rPr>
                <w:sz w:val="18"/>
                <w:szCs w:val="20"/>
              </w:rPr>
              <w:t>Ministerstwo Cyfryzacji</w:t>
            </w:r>
            <w:r w:rsidR="00906338">
              <w:rPr>
                <w:sz w:val="18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7A0A3D" w:rsidRPr="002450C4" w14:paraId="32D57D0B" w14:textId="77777777" w:rsidTr="006A7EBF">
        <w:tc>
          <w:tcPr>
            <w:tcW w:w="376" w:type="dxa"/>
          </w:tcPr>
          <w:p w14:paraId="168C49F5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1EFDF121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7229" w:type="dxa"/>
          </w:tcPr>
          <w:p w14:paraId="0F185083" w14:textId="77777777" w:rsidR="007A0A3D" w:rsidRPr="003630E7" w:rsidRDefault="00734EED" w:rsidP="00FD074F">
            <w:pPr>
              <w:jc w:val="both"/>
              <w:rPr>
                <w:sz w:val="18"/>
                <w:szCs w:val="20"/>
              </w:rPr>
            </w:pPr>
            <w:r w:rsidRPr="003630E7">
              <w:rPr>
                <w:sz w:val="18"/>
                <w:szCs w:val="20"/>
              </w:rPr>
              <w:t>Urząd Zamówień Publicznych</w:t>
            </w:r>
            <w:r w:rsidR="00A1534B" w:rsidRPr="003630E7">
              <w:rPr>
                <w:sz w:val="18"/>
                <w:szCs w:val="20"/>
              </w:rPr>
              <w:t xml:space="preserve"> </w:t>
            </w:r>
          </w:p>
        </w:tc>
      </w:tr>
      <w:tr w:rsidR="003B107D" w:rsidRPr="002450C4" w14:paraId="198DEB6C" w14:textId="77777777" w:rsidTr="006A7EBF">
        <w:tc>
          <w:tcPr>
            <w:tcW w:w="376" w:type="dxa"/>
          </w:tcPr>
          <w:p w14:paraId="432AE577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5FB1D13B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7229" w:type="dxa"/>
          </w:tcPr>
          <w:p w14:paraId="040B6F9D" w14:textId="77777777" w:rsidR="002A753C" w:rsidRDefault="009D79D5" w:rsidP="008B28D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</w:t>
            </w:r>
            <w:r w:rsidRPr="009D79D5">
              <w:rPr>
                <w:sz w:val="18"/>
                <w:szCs w:val="20"/>
              </w:rPr>
              <w:t>rojekt</w:t>
            </w:r>
            <w:r>
              <w:rPr>
                <w:sz w:val="18"/>
                <w:szCs w:val="20"/>
              </w:rPr>
              <w:t xml:space="preserve"> był</w:t>
            </w:r>
            <w:r w:rsidRPr="009D79D5">
              <w:rPr>
                <w:sz w:val="18"/>
                <w:szCs w:val="20"/>
              </w:rPr>
              <w:t xml:space="preserve"> realizowany w ramach Programu Operacyjnego Polska Cyfrowa na lata 2014-2020, Oś priorytetowa nr 2 „E-administracja i otwarty rząd”, Działanie nr 2.1 „Wysoka dostępność i jakość e-usług publicznych”.</w:t>
            </w:r>
            <w:r w:rsidR="00494AA4">
              <w:rPr>
                <w:sz w:val="18"/>
                <w:szCs w:val="20"/>
              </w:rPr>
              <w:t xml:space="preserve"> </w:t>
            </w:r>
          </w:p>
          <w:p w14:paraId="414403E3" w14:textId="77777777" w:rsidR="001A2A81" w:rsidRDefault="001A2A81" w:rsidP="008B28D4">
            <w:pPr>
              <w:rPr>
                <w:sz w:val="18"/>
                <w:szCs w:val="20"/>
              </w:rPr>
            </w:pPr>
          </w:p>
          <w:p w14:paraId="0C75539E" w14:textId="0145F178" w:rsidR="006A7EBF" w:rsidRDefault="006A7EBF" w:rsidP="008F3CDD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Projekt został zamknięty na skutek rozwiązania umowy z Wykonawcą i nie będzie kontynuowany w dotychczasowej formule. </w:t>
            </w:r>
            <w:r w:rsidR="008F3CDD">
              <w:rPr>
                <w:sz w:val="18"/>
                <w:szCs w:val="20"/>
              </w:rPr>
              <w:t xml:space="preserve">Nowy projekt, obejmujący </w:t>
            </w:r>
            <w:r w:rsidR="008F3CDD" w:rsidRPr="008F3CDD">
              <w:rPr>
                <w:sz w:val="18"/>
                <w:szCs w:val="20"/>
              </w:rPr>
              <w:t>m.in. zakres zamykanego projektu</w:t>
            </w:r>
            <w:r w:rsidR="008F3CDD">
              <w:rPr>
                <w:sz w:val="18"/>
                <w:szCs w:val="20"/>
              </w:rPr>
              <w:t xml:space="preserve">, będzie realizowany w </w:t>
            </w:r>
            <w:r w:rsidR="008F3CDD" w:rsidRPr="008F3CDD">
              <w:rPr>
                <w:sz w:val="18"/>
                <w:szCs w:val="20"/>
              </w:rPr>
              <w:t>partnerstwie z U</w:t>
            </w:r>
            <w:r w:rsidR="008F3CDD">
              <w:rPr>
                <w:sz w:val="18"/>
                <w:szCs w:val="20"/>
              </w:rPr>
              <w:t xml:space="preserve">rzędem Zamówień Publicznych pełniącym rolę lidera. </w:t>
            </w:r>
          </w:p>
          <w:p w14:paraId="5A356BE4" w14:textId="77777777" w:rsidR="00D05E29" w:rsidRDefault="00D05E29" w:rsidP="008F3CDD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6955FAEC" w14:textId="5A3FC2EA" w:rsidR="001A2A81" w:rsidRDefault="001A2A81" w:rsidP="008B28D4">
            <w:pPr>
              <w:rPr>
                <w:sz w:val="18"/>
                <w:szCs w:val="20"/>
              </w:rPr>
            </w:pPr>
            <w:r w:rsidRPr="001A2A81">
              <w:rPr>
                <w:sz w:val="18"/>
                <w:szCs w:val="20"/>
              </w:rPr>
              <w:t>WYKAZ PLANOWANYCH POSZCZEGÓLNYCH POZYCJI KOSZTOWYCH WRAZ Z PONIESIONYMI WYDATKAMI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417"/>
              <w:gridCol w:w="1418"/>
              <w:gridCol w:w="1021"/>
            </w:tblGrid>
            <w:tr w:rsidR="001A2A81" w14:paraId="04D78E7E" w14:textId="77777777" w:rsidTr="00B10F81">
              <w:tc>
                <w:tcPr>
                  <w:tcW w:w="3148" w:type="dxa"/>
                </w:tcPr>
                <w:p w14:paraId="70B828AB" w14:textId="451A4502" w:rsidR="001A2A81" w:rsidRDefault="001A2A81" w:rsidP="000D64A0">
                  <w:pPr>
                    <w:jc w:val="both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>Zadani</w:t>
                  </w:r>
                  <w:r>
                    <w:rPr>
                      <w:sz w:val="18"/>
                      <w:szCs w:val="20"/>
                    </w:rPr>
                    <w:t xml:space="preserve">a </w:t>
                  </w:r>
                </w:p>
              </w:tc>
              <w:tc>
                <w:tcPr>
                  <w:tcW w:w="1417" w:type="dxa"/>
                </w:tcPr>
                <w:p w14:paraId="63FD1357" w14:textId="457239F4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Zaplanowane wydatki (brutto)</w:t>
                  </w:r>
                </w:p>
              </w:tc>
              <w:tc>
                <w:tcPr>
                  <w:tcW w:w="1418" w:type="dxa"/>
                </w:tcPr>
                <w:p w14:paraId="7EDBEE1B" w14:textId="4A261763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Poniesione wydatki (brutto)</w:t>
                  </w:r>
                </w:p>
              </w:tc>
              <w:tc>
                <w:tcPr>
                  <w:tcW w:w="1021" w:type="dxa"/>
                </w:tcPr>
                <w:p w14:paraId="564A8B87" w14:textId="325C1153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% realizacji</w:t>
                  </w:r>
                </w:p>
              </w:tc>
            </w:tr>
            <w:tr w:rsidR="001A2A81" w14:paraId="326303F8" w14:textId="77777777" w:rsidTr="00B10F81">
              <w:tc>
                <w:tcPr>
                  <w:tcW w:w="3148" w:type="dxa"/>
                </w:tcPr>
                <w:p w14:paraId="5C822015" w14:textId="777B04C0" w:rsidR="001A2A81" w:rsidRDefault="001A2A81" w:rsidP="000D64A0">
                  <w:pPr>
                    <w:jc w:val="both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>1. Budowa i w</w:t>
                  </w:r>
                  <w:r>
                    <w:rPr>
                      <w:sz w:val="18"/>
                      <w:szCs w:val="20"/>
                    </w:rPr>
                    <w:t xml:space="preserve">drożenie Platformy                         e-Zamówienia </w:t>
                  </w:r>
                </w:p>
              </w:tc>
              <w:tc>
                <w:tcPr>
                  <w:tcW w:w="1417" w:type="dxa"/>
                </w:tcPr>
                <w:p w14:paraId="0715BB32" w14:textId="1ECDAA7C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11 177 000,00 zł            </w:t>
                  </w:r>
                </w:p>
              </w:tc>
              <w:tc>
                <w:tcPr>
                  <w:tcW w:w="1418" w:type="dxa"/>
                </w:tcPr>
                <w:p w14:paraId="67BB206A" w14:textId="02CFEB36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582 819,00 zł  </w:t>
                  </w:r>
                </w:p>
              </w:tc>
              <w:tc>
                <w:tcPr>
                  <w:tcW w:w="1021" w:type="dxa"/>
                </w:tcPr>
                <w:p w14:paraId="10D765A4" w14:textId="3C883CC0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>5%</w:t>
                  </w:r>
                </w:p>
              </w:tc>
            </w:tr>
            <w:tr w:rsidR="001A2A81" w14:paraId="502D7017" w14:textId="77777777" w:rsidTr="00B10F81">
              <w:tc>
                <w:tcPr>
                  <w:tcW w:w="3148" w:type="dxa"/>
                </w:tcPr>
                <w:p w14:paraId="1B9C0E33" w14:textId="2BE08F7D" w:rsidR="001A2A81" w:rsidRDefault="001A2A81" w:rsidP="000D64A0">
                  <w:pPr>
                    <w:jc w:val="both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>2. Wsp</w:t>
                  </w:r>
                  <w:r>
                    <w:rPr>
                      <w:sz w:val="18"/>
                      <w:szCs w:val="20"/>
                    </w:rPr>
                    <w:t xml:space="preserve">arcie w realizacji projektu  </w:t>
                  </w:r>
                </w:p>
              </w:tc>
              <w:tc>
                <w:tcPr>
                  <w:tcW w:w="1417" w:type="dxa"/>
                </w:tcPr>
                <w:p w14:paraId="4CD96A7B" w14:textId="73FB06B7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1 490 000,00 zł        </w:t>
                  </w:r>
                </w:p>
              </w:tc>
              <w:tc>
                <w:tcPr>
                  <w:tcW w:w="1418" w:type="dxa"/>
                </w:tcPr>
                <w:p w14:paraId="4BD6D41D" w14:textId="202A1DF2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1 078 653,00 zł  </w:t>
                  </w:r>
                </w:p>
              </w:tc>
              <w:tc>
                <w:tcPr>
                  <w:tcW w:w="1021" w:type="dxa"/>
                </w:tcPr>
                <w:p w14:paraId="0B9437CD" w14:textId="6D98DE7D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72%</w:t>
                  </w:r>
                </w:p>
              </w:tc>
            </w:tr>
            <w:tr w:rsidR="001A2A81" w14:paraId="0A2B0473" w14:textId="77777777" w:rsidTr="00B10F81">
              <w:tc>
                <w:tcPr>
                  <w:tcW w:w="3148" w:type="dxa"/>
                </w:tcPr>
                <w:p w14:paraId="7A31FA2B" w14:textId="696E19D0" w:rsidR="001A2A81" w:rsidRDefault="001A2A81" w:rsidP="000D64A0">
                  <w:pPr>
                    <w:jc w:val="both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>3. Szkolenia dla zespo</w:t>
                  </w:r>
                  <w:r>
                    <w:rPr>
                      <w:sz w:val="18"/>
                      <w:szCs w:val="20"/>
                    </w:rPr>
                    <w:t xml:space="preserve">łu projektowego i użytkowników </w:t>
                  </w:r>
                </w:p>
              </w:tc>
              <w:tc>
                <w:tcPr>
                  <w:tcW w:w="1417" w:type="dxa"/>
                </w:tcPr>
                <w:p w14:paraId="6A573F53" w14:textId="4495705D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243 000,00 zł              </w:t>
                  </w:r>
                </w:p>
              </w:tc>
              <w:tc>
                <w:tcPr>
                  <w:tcW w:w="1418" w:type="dxa"/>
                </w:tcPr>
                <w:p w14:paraId="30254F29" w14:textId="2BB0D989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12 522,00 zł  </w:t>
                  </w:r>
                </w:p>
              </w:tc>
              <w:tc>
                <w:tcPr>
                  <w:tcW w:w="1021" w:type="dxa"/>
                </w:tcPr>
                <w:p w14:paraId="225AA2FA" w14:textId="5E227578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>5%</w:t>
                  </w:r>
                </w:p>
              </w:tc>
            </w:tr>
            <w:tr w:rsidR="001A2A81" w14:paraId="26CB452E" w14:textId="77777777" w:rsidTr="00B10F81">
              <w:tc>
                <w:tcPr>
                  <w:tcW w:w="3148" w:type="dxa"/>
                </w:tcPr>
                <w:p w14:paraId="2F566906" w14:textId="3E36BF9E" w:rsidR="001A2A81" w:rsidRDefault="001A2A81" w:rsidP="000D64A0">
                  <w:pPr>
                    <w:jc w:val="both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>4. Zakup sprzętu biurowego (mu</w:t>
                  </w:r>
                  <w:r>
                    <w:rPr>
                      <w:sz w:val="18"/>
                      <w:szCs w:val="20"/>
                    </w:rPr>
                    <w:t xml:space="preserve">ltimedialnego i komputerowego) </w:t>
                  </w:r>
                </w:p>
              </w:tc>
              <w:tc>
                <w:tcPr>
                  <w:tcW w:w="1417" w:type="dxa"/>
                </w:tcPr>
                <w:p w14:paraId="2107DC54" w14:textId="15EB26B7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200 000,00 zł              </w:t>
                  </w:r>
                </w:p>
              </w:tc>
              <w:tc>
                <w:tcPr>
                  <w:tcW w:w="1418" w:type="dxa"/>
                </w:tcPr>
                <w:p w14:paraId="459C517D" w14:textId="14C3BF5E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92 154,00 zł  </w:t>
                  </w:r>
                </w:p>
              </w:tc>
              <w:tc>
                <w:tcPr>
                  <w:tcW w:w="1021" w:type="dxa"/>
                </w:tcPr>
                <w:p w14:paraId="18EF137C" w14:textId="2F6CA7BF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>46%</w:t>
                  </w:r>
                </w:p>
              </w:tc>
            </w:tr>
            <w:tr w:rsidR="001A2A81" w14:paraId="0CE2E407" w14:textId="77777777" w:rsidTr="00B10F81">
              <w:tc>
                <w:tcPr>
                  <w:tcW w:w="3148" w:type="dxa"/>
                </w:tcPr>
                <w:p w14:paraId="5F29B3FA" w14:textId="6A89B745" w:rsidR="001A2A81" w:rsidRDefault="001A2A81" w:rsidP="000D64A0">
                  <w:pPr>
                    <w:jc w:val="both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5. Promocja        </w:t>
                  </w:r>
                </w:p>
              </w:tc>
              <w:tc>
                <w:tcPr>
                  <w:tcW w:w="1417" w:type="dxa"/>
                </w:tcPr>
                <w:p w14:paraId="5DEA557C" w14:textId="3BBE938B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400 000,00 zł                </w:t>
                  </w:r>
                </w:p>
              </w:tc>
              <w:tc>
                <w:tcPr>
                  <w:tcW w:w="1418" w:type="dxa"/>
                </w:tcPr>
                <w:p w14:paraId="01DE63D2" w14:textId="0A733613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8 610,00 zł  </w:t>
                  </w:r>
                </w:p>
              </w:tc>
              <w:tc>
                <w:tcPr>
                  <w:tcW w:w="1021" w:type="dxa"/>
                </w:tcPr>
                <w:p w14:paraId="4BA826BC" w14:textId="1C9C56FA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2%</w:t>
                  </w:r>
                </w:p>
              </w:tc>
            </w:tr>
            <w:tr w:rsidR="001A2A81" w14:paraId="597FBBDA" w14:textId="77777777" w:rsidTr="00B10F81">
              <w:tc>
                <w:tcPr>
                  <w:tcW w:w="3148" w:type="dxa"/>
                </w:tcPr>
                <w:p w14:paraId="77528FF8" w14:textId="6007327A" w:rsidR="001A2A81" w:rsidRDefault="001A2A81" w:rsidP="000D64A0">
                  <w:pPr>
                    <w:jc w:val="both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6. Zarządzanie i obsługa projektu     </w:t>
                  </w:r>
                </w:p>
              </w:tc>
              <w:tc>
                <w:tcPr>
                  <w:tcW w:w="1417" w:type="dxa"/>
                </w:tcPr>
                <w:p w14:paraId="356A1C79" w14:textId="17D2653A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2 400 000,00 zł        </w:t>
                  </w:r>
                </w:p>
              </w:tc>
              <w:tc>
                <w:tcPr>
                  <w:tcW w:w="1418" w:type="dxa"/>
                </w:tcPr>
                <w:p w14:paraId="42D31FB4" w14:textId="1A7054F8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1 149 606,00 zł  </w:t>
                  </w:r>
                </w:p>
              </w:tc>
              <w:tc>
                <w:tcPr>
                  <w:tcW w:w="1021" w:type="dxa"/>
                </w:tcPr>
                <w:p w14:paraId="38741CC0" w14:textId="34C16826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48%</w:t>
                  </w:r>
                </w:p>
              </w:tc>
            </w:tr>
            <w:tr w:rsidR="001A2A81" w14:paraId="3850D074" w14:textId="77777777" w:rsidTr="00B10F81">
              <w:tc>
                <w:tcPr>
                  <w:tcW w:w="3148" w:type="dxa"/>
                </w:tcPr>
                <w:p w14:paraId="0AD71D7C" w14:textId="3E447D31" w:rsidR="001A2A81" w:rsidRDefault="001A2A81" w:rsidP="000D64A0">
                  <w:pPr>
                    <w:jc w:val="both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Koszty pośrednie        </w:t>
                  </w:r>
                </w:p>
              </w:tc>
              <w:tc>
                <w:tcPr>
                  <w:tcW w:w="1417" w:type="dxa"/>
                </w:tcPr>
                <w:p w14:paraId="7992D08C" w14:textId="2BD5E390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200 000,00 zł            </w:t>
                  </w:r>
                </w:p>
              </w:tc>
              <w:tc>
                <w:tcPr>
                  <w:tcW w:w="1418" w:type="dxa"/>
                </w:tcPr>
                <w:p w14:paraId="10577509" w14:textId="06B9CC57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113 746,00 zł  </w:t>
                  </w:r>
                </w:p>
              </w:tc>
              <w:tc>
                <w:tcPr>
                  <w:tcW w:w="1021" w:type="dxa"/>
                </w:tcPr>
                <w:p w14:paraId="06319C96" w14:textId="7AC53D89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>57%</w:t>
                  </w:r>
                </w:p>
              </w:tc>
            </w:tr>
            <w:tr w:rsidR="001A2A81" w14:paraId="65ED7171" w14:textId="77777777" w:rsidTr="00B10F81">
              <w:tc>
                <w:tcPr>
                  <w:tcW w:w="3148" w:type="dxa"/>
                </w:tcPr>
                <w:p w14:paraId="14568CB0" w14:textId="77777777" w:rsidR="001A2A81" w:rsidRDefault="001A2A81" w:rsidP="000D64A0">
                  <w:pPr>
                    <w:jc w:val="both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57600464" w14:textId="51B9D242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16 110 000,00 zł        </w:t>
                  </w:r>
                </w:p>
              </w:tc>
              <w:tc>
                <w:tcPr>
                  <w:tcW w:w="1418" w:type="dxa"/>
                </w:tcPr>
                <w:p w14:paraId="199562F9" w14:textId="526FED48" w:rsidR="001A2A81" w:rsidRDefault="001A2A81" w:rsidP="00B10F81">
                  <w:pPr>
                    <w:jc w:val="right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 xml:space="preserve">3 038 110,00 zł  </w:t>
                  </w:r>
                </w:p>
              </w:tc>
              <w:tc>
                <w:tcPr>
                  <w:tcW w:w="1021" w:type="dxa"/>
                </w:tcPr>
                <w:p w14:paraId="13029A7D" w14:textId="7402556B" w:rsidR="001A2A81" w:rsidRDefault="001A2A81" w:rsidP="00B10F81">
                  <w:pPr>
                    <w:jc w:val="center"/>
                    <w:rPr>
                      <w:sz w:val="18"/>
                      <w:szCs w:val="20"/>
                    </w:rPr>
                  </w:pPr>
                  <w:r w:rsidRPr="001A2A81">
                    <w:rPr>
                      <w:sz w:val="18"/>
                      <w:szCs w:val="20"/>
                    </w:rPr>
                    <w:t>19%</w:t>
                  </w:r>
                </w:p>
              </w:tc>
            </w:tr>
          </w:tbl>
          <w:p w14:paraId="609A0787" w14:textId="77777777" w:rsidR="006A7EBF" w:rsidRPr="006A7EBF" w:rsidRDefault="006A7EBF">
            <w:pPr>
              <w:rPr>
                <w:sz w:val="18"/>
              </w:rPr>
            </w:pPr>
          </w:p>
          <w:p w14:paraId="706C9B2D" w14:textId="7BC9A182" w:rsidR="00D05E29" w:rsidRPr="00D05E29" w:rsidRDefault="008F3CDD" w:rsidP="00D05E2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Powyższa tabela zawiera wydatki faktycznie poniesione</w:t>
            </w:r>
            <w:r w:rsidR="00857769">
              <w:rPr>
                <w:sz w:val="18"/>
                <w:szCs w:val="20"/>
              </w:rPr>
              <w:t xml:space="preserve"> w projekcie</w:t>
            </w:r>
            <w:r>
              <w:rPr>
                <w:sz w:val="18"/>
                <w:szCs w:val="20"/>
              </w:rPr>
              <w:t xml:space="preserve">. </w:t>
            </w:r>
            <w:r w:rsidR="00D05E29">
              <w:rPr>
                <w:sz w:val="18"/>
                <w:szCs w:val="20"/>
              </w:rPr>
              <w:t xml:space="preserve">W związku z rozwiązaniem </w:t>
            </w:r>
            <w:r w:rsidR="00D05E29" w:rsidRPr="00D05E29">
              <w:rPr>
                <w:sz w:val="18"/>
                <w:szCs w:val="20"/>
              </w:rPr>
              <w:t xml:space="preserve">w dn. 27.06.2019 r. Porozumienia o dofinansowanie projektu nr POPC.02.01.00-00-0065/17-005 pn. „E-zamówienia – elektroniczne zamówienia publiczne” wydatki poświadczone </w:t>
            </w:r>
            <w:r w:rsidR="00581B67">
              <w:rPr>
                <w:sz w:val="18"/>
                <w:szCs w:val="20"/>
              </w:rPr>
              <w:t xml:space="preserve">wcześniej </w:t>
            </w:r>
            <w:r w:rsidR="00D05E29" w:rsidRPr="00D05E29">
              <w:rPr>
                <w:sz w:val="18"/>
                <w:szCs w:val="20"/>
              </w:rPr>
              <w:t>w ramach wni</w:t>
            </w:r>
            <w:r w:rsidR="00D05E29">
              <w:rPr>
                <w:sz w:val="18"/>
                <w:szCs w:val="20"/>
              </w:rPr>
              <w:t>osków o płatność zostały</w:t>
            </w:r>
            <w:r w:rsidR="00D05E29" w:rsidRPr="00D05E29">
              <w:rPr>
                <w:sz w:val="18"/>
                <w:szCs w:val="20"/>
              </w:rPr>
              <w:t xml:space="preserve"> uznane za niekwalifikowalne</w:t>
            </w:r>
            <w:r w:rsidR="00D05E29">
              <w:rPr>
                <w:sz w:val="18"/>
                <w:szCs w:val="20"/>
              </w:rPr>
              <w:t xml:space="preserve">. </w:t>
            </w:r>
            <w:r w:rsidR="00857769">
              <w:rPr>
                <w:sz w:val="18"/>
                <w:szCs w:val="20"/>
              </w:rPr>
              <w:t>P</w:t>
            </w:r>
            <w:r w:rsidR="00857769" w:rsidRPr="00D05E29">
              <w:rPr>
                <w:sz w:val="18"/>
                <w:szCs w:val="20"/>
              </w:rPr>
              <w:t xml:space="preserve">o zamknięciu </w:t>
            </w:r>
            <w:r w:rsidR="00857769">
              <w:rPr>
                <w:sz w:val="18"/>
                <w:szCs w:val="20"/>
              </w:rPr>
              <w:t>projektu, z</w:t>
            </w:r>
            <w:r w:rsidR="00D05E29" w:rsidRPr="00D05E29">
              <w:rPr>
                <w:sz w:val="18"/>
                <w:szCs w:val="20"/>
              </w:rPr>
              <w:t>godnie z zasadami udzielonego dofinansowania, środki</w:t>
            </w:r>
            <w:r w:rsidR="00857769">
              <w:rPr>
                <w:sz w:val="18"/>
                <w:szCs w:val="20"/>
              </w:rPr>
              <w:t xml:space="preserve"> </w:t>
            </w:r>
            <w:r w:rsidR="00D05E29" w:rsidRPr="00D05E29">
              <w:rPr>
                <w:sz w:val="18"/>
                <w:szCs w:val="20"/>
              </w:rPr>
              <w:t xml:space="preserve">wydatkowane w projekcie zostały refinansowane z budżetu państwa. Końcowe rozliczenie na projekcie dotyczy </w:t>
            </w:r>
            <w:r w:rsidR="00D05E29">
              <w:rPr>
                <w:sz w:val="18"/>
                <w:szCs w:val="20"/>
              </w:rPr>
              <w:t xml:space="preserve">wydatków poniesionych </w:t>
            </w:r>
            <w:r w:rsidR="00D05E29" w:rsidRPr="00D05E29">
              <w:rPr>
                <w:sz w:val="18"/>
                <w:szCs w:val="20"/>
              </w:rPr>
              <w:t>budżetu państwa</w:t>
            </w:r>
            <w:r w:rsidR="00857769">
              <w:rPr>
                <w:sz w:val="18"/>
                <w:szCs w:val="20"/>
              </w:rPr>
              <w:t>,</w:t>
            </w:r>
            <w:r w:rsidR="00D05E29" w:rsidRPr="00D05E29">
              <w:rPr>
                <w:sz w:val="18"/>
                <w:szCs w:val="20"/>
              </w:rPr>
              <w:t xml:space="preserve"> a n</w:t>
            </w:r>
            <w:r w:rsidR="00857769">
              <w:rPr>
                <w:sz w:val="18"/>
                <w:szCs w:val="20"/>
              </w:rPr>
              <w:t>ie dofinansowania ze środków POPC.</w:t>
            </w:r>
          </w:p>
          <w:p w14:paraId="74B9DE31" w14:textId="263C67EB" w:rsidR="006A7EBF" w:rsidRPr="00AD7E5D" w:rsidRDefault="006A7EBF" w:rsidP="00857769">
            <w:pPr>
              <w:jc w:val="both"/>
              <w:rPr>
                <w:sz w:val="18"/>
                <w:szCs w:val="20"/>
              </w:rPr>
            </w:pPr>
          </w:p>
        </w:tc>
      </w:tr>
      <w:tr w:rsidR="007A0A3D" w:rsidRPr="002450C4" w14:paraId="270F9289" w14:textId="77777777" w:rsidTr="006A7EBF">
        <w:tc>
          <w:tcPr>
            <w:tcW w:w="376" w:type="dxa"/>
          </w:tcPr>
          <w:p w14:paraId="748D5E2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6E6303A5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7229" w:type="dxa"/>
          </w:tcPr>
          <w:p w14:paraId="47612919" w14:textId="254B5526" w:rsidR="00E36DD7" w:rsidRPr="00E36DD7" w:rsidRDefault="00456E5C" w:rsidP="008B28D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Planowano do wdrożenia</w:t>
            </w:r>
            <w:r w:rsidR="00E36DD7" w:rsidRPr="00E36DD7">
              <w:rPr>
                <w:sz w:val="18"/>
                <w:szCs w:val="20"/>
              </w:rPr>
              <w:t xml:space="preserve"> 6 Modułów Funkcjonalnych, kt</w:t>
            </w:r>
            <w:r w:rsidR="008B28D4">
              <w:rPr>
                <w:sz w:val="18"/>
                <w:szCs w:val="20"/>
              </w:rPr>
              <w:t>óre miała obejmować Platforma e</w:t>
            </w:r>
            <w:r w:rsidR="008B28D4">
              <w:rPr>
                <w:sz w:val="18"/>
                <w:szCs w:val="20"/>
              </w:rPr>
              <w:noBreakHyphen/>
            </w:r>
            <w:r w:rsidR="00E36DD7" w:rsidRPr="00E36DD7">
              <w:rPr>
                <w:sz w:val="18"/>
                <w:szCs w:val="20"/>
              </w:rPr>
              <w:t xml:space="preserve">Zamówienia: </w:t>
            </w:r>
          </w:p>
          <w:p w14:paraId="757286FC" w14:textId="30EA0D81" w:rsidR="00E36DD7" w:rsidRPr="00E36DD7" w:rsidRDefault="00E36DD7" w:rsidP="00E36DD7">
            <w:pPr>
              <w:jc w:val="both"/>
              <w:rPr>
                <w:sz w:val="18"/>
                <w:szCs w:val="20"/>
              </w:rPr>
            </w:pPr>
          </w:p>
          <w:p w14:paraId="394A20C1" w14:textId="77777777" w:rsidR="00E36DD7" w:rsidRPr="00B10F81" w:rsidRDefault="00E36DD7" w:rsidP="00B10F81">
            <w:pPr>
              <w:pStyle w:val="Akapitzlist"/>
              <w:numPr>
                <w:ilvl w:val="0"/>
                <w:numId w:val="11"/>
              </w:numPr>
              <w:jc w:val="both"/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>Centralne Repozytorium Danych,</w:t>
            </w:r>
          </w:p>
          <w:p w14:paraId="7C8CCA4B" w14:textId="77777777" w:rsidR="00E36DD7" w:rsidRPr="00B10F81" w:rsidRDefault="00E36DD7" w:rsidP="00B10F81">
            <w:pPr>
              <w:pStyle w:val="Akapitzlist"/>
              <w:numPr>
                <w:ilvl w:val="0"/>
                <w:numId w:val="11"/>
              </w:numPr>
              <w:jc w:val="both"/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>Biuletyn Zamówień Publicznych - zastępujący obecnie funkcjonujący,</w:t>
            </w:r>
          </w:p>
          <w:p w14:paraId="5E243784" w14:textId="77777777" w:rsidR="00E36DD7" w:rsidRPr="00B10F81" w:rsidRDefault="00E36DD7" w:rsidP="00B10F81">
            <w:pPr>
              <w:pStyle w:val="Akapitzlist"/>
              <w:numPr>
                <w:ilvl w:val="0"/>
                <w:numId w:val="11"/>
              </w:numPr>
              <w:jc w:val="both"/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>Moduł Monitorowania i Analiz wykorzystujący także narzędzia BI,</w:t>
            </w:r>
          </w:p>
          <w:p w14:paraId="5AA75824" w14:textId="77777777" w:rsidR="00E36DD7" w:rsidRPr="00B10F81" w:rsidRDefault="00E36DD7" w:rsidP="00B10F81">
            <w:pPr>
              <w:pStyle w:val="Akapitzlist"/>
              <w:numPr>
                <w:ilvl w:val="0"/>
                <w:numId w:val="11"/>
              </w:numPr>
              <w:jc w:val="both"/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 xml:space="preserve">Moduł Aukcji i Licytacji Elektronicznych - zastępujący obecnie funkcjonujący, </w:t>
            </w:r>
          </w:p>
          <w:p w14:paraId="6A6A3F6F" w14:textId="557A94B2" w:rsidR="00E36DD7" w:rsidRPr="00B10F81" w:rsidRDefault="00E36DD7" w:rsidP="00B10F81">
            <w:pPr>
              <w:pStyle w:val="Akapitzlist"/>
              <w:numPr>
                <w:ilvl w:val="0"/>
                <w:numId w:val="11"/>
              </w:numPr>
              <w:jc w:val="both"/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>eSender,</w:t>
            </w:r>
          </w:p>
          <w:p w14:paraId="45B168C2" w14:textId="25AFF582" w:rsidR="00E36DD7" w:rsidRPr="00B10F81" w:rsidRDefault="00E36DD7" w:rsidP="00B10F81">
            <w:pPr>
              <w:pStyle w:val="Akapitzlist"/>
              <w:numPr>
                <w:ilvl w:val="0"/>
                <w:numId w:val="11"/>
              </w:numPr>
              <w:jc w:val="both"/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 xml:space="preserve">Moduł Przyjmowania i Zabezpieczania ofert / wniosków do terminu otwarcia </w:t>
            </w:r>
          </w:p>
          <w:p w14:paraId="420CB404" w14:textId="77777777" w:rsidR="00E36DD7" w:rsidRPr="00E36DD7" w:rsidRDefault="00E36DD7" w:rsidP="00E36DD7">
            <w:pPr>
              <w:jc w:val="both"/>
              <w:rPr>
                <w:sz w:val="18"/>
                <w:szCs w:val="20"/>
              </w:rPr>
            </w:pPr>
            <w:r w:rsidRPr="00E36DD7">
              <w:rPr>
                <w:sz w:val="18"/>
                <w:szCs w:val="20"/>
              </w:rPr>
              <w:t xml:space="preserve"> </w:t>
            </w:r>
          </w:p>
          <w:p w14:paraId="7C62D99D" w14:textId="77777777" w:rsidR="00E36DD7" w:rsidRPr="00E36DD7" w:rsidRDefault="00E36DD7" w:rsidP="00E36DD7">
            <w:pPr>
              <w:jc w:val="both"/>
              <w:rPr>
                <w:sz w:val="18"/>
                <w:szCs w:val="20"/>
              </w:rPr>
            </w:pPr>
            <w:r w:rsidRPr="00E36DD7">
              <w:rPr>
                <w:sz w:val="18"/>
                <w:szCs w:val="20"/>
              </w:rPr>
              <w:t xml:space="preserve">oraz 5 Komponentów Pomocniczych wspierających działanie Modułów: </w:t>
            </w:r>
          </w:p>
          <w:p w14:paraId="6F6330D9" w14:textId="77777777" w:rsidR="00E36DD7" w:rsidRDefault="00E36DD7" w:rsidP="00E36DD7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</w:t>
            </w:r>
          </w:p>
          <w:p w14:paraId="31E6E7D8" w14:textId="77777777" w:rsidR="00E36DD7" w:rsidRPr="00B10F81" w:rsidRDefault="00E36DD7" w:rsidP="008B28D4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>Manager Tożsamości – umożliwiający rejestrację, identyfikację, uwierzytelnienia (autentykację) oraz autoryzację interesariuszy postępowania o udzielenie zamówienia publicznego;</w:t>
            </w:r>
          </w:p>
          <w:p w14:paraId="2ED1F606" w14:textId="77777777" w:rsidR="00E36DD7" w:rsidRPr="00B10F81" w:rsidRDefault="00E36DD7" w:rsidP="008B28D4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>Zarządca Kluczy – odpowiedzialny za generowanie i udostępnianie kluczy szyfrujących w celu realizacji zabezpieczeń kryptograficznych ofert / wniosków;</w:t>
            </w:r>
          </w:p>
          <w:p w14:paraId="5D0348CD" w14:textId="77777777" w:rsidR="00E36DD7" w:rsidRPr="00B10F81" w:rsidRDefault="00E36DD7" w:rsidP="008B28D4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>Administracyjny – wspomagający realizację zadań Administratora Merytorycznego;</w:t>
            </w:r>
          </w:p>
          <w:p w14:paraId="5C7225A5" w14:textId="77777777" w:rsidR="00E36DD7" w:rsidRPr="00B10F81" w:rsidRDefault="00E36DD7" w:rsidP="008B28D4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>Komponent Edukacyjny – udostępniający interaktywne materiały instruktażowe i tworzący statystyki wykorzystywania ich przez użytkowników;</w:t>
            </w:r>
          </w:p>
          <w:p w14:paraId="6ADDC872" w14:textId="1F2EAB66" w:rsidR="00E36DD7" w:rsidRPr="00B10F81" w:rsidRDefault="00E36DD7" w:rsidP="008B28D4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lastRenderedPageBreak/>
              <w:t xml:space="preserve">System Obsługi Zagadnień (SOZ)- odpowiedzialny za rejestrację i obsługę zgłoszeń użytkowników (help desk).  </w:t>
            </w:r>
          </w:p>
          <w:p w14:paraId="595F9E4C" w14:textId="77777777" w:rsidR="00E36DD7" w:rsidRPr="00E36DD7" w:rsidRDefault="00E36DD7" w:rsidP="00E36DD7">
            <w:pPr>
              <w:jc w:val="both"/>
              <w:rPr>
                <w:sz w:val="18"/>
                <w:szCs w:val="20"/>
              </w:rPr>
            </w:pPr>
            <w:r w:rsidRPr="00E36DD7">
              <w:rPr>
                <w:sz w:val="18"/>
                <w:szCs w:val="20"/>
              </w:rPr>
              <w:t xml:space="preserve"> </w:t>
            </w:r>
          </w:p>
          <w:p w14:paraId="775F43EF" w14:textId="4E408C10" w:rsidR="003630E7" w:rsidRPr="00456E5C" w:rsidRDefault="00E36DD7" w:rsidP="003630E7">
            <w:pPr>
              <w:jc w:val="both"/>
              <w:rPr>
                <w:b/>
                <w:sz w:val="18"/>
                <w:szCs w:val="20"/>
              </w:rPr>
            </w:pPr>
            <w:r w:rsidRPr="00456E5C">
              <w:rPr>
                <w:b/>
                <w:sz w:val="18"/>
                <w:szCs w:val="20"/>
              </w:rPr>
              <w:t>Żaden z Modułów Funkcjonalnych i Komponentów Pomocniczych nie został odebrany i wdrożony.</w:t>
            </w:r>
          </w:p>
          <w:p w14:paraId="1CBE1C31" w14:textId="77777777" w:rsidR="001F18DD" w:rsidRPr="00097FBD" w:rsidRDefault="001F18DD" w:rsidP="001F18DD">
            <w:pPr>
              <w:jc w:val="both"/>
              <w:rPr>
                <w:sz w:val="18"/>
                <w:szCs w:val="20"/>
              </w:rPr>
            </w:pPr>
            <w:r w:rsidRPr="00097FBD">
              <w:rPr>
                <w:sz w:val="18"/>
                <w:szCs w:val="20"/>
              </w:rPr>
              <w:t xml:space="preserve"> </w:t>
            </w:r>
          </w:p>
          <w:p w14:paraId="444C3AB9" w14:textId="77777777" w:rsidR="001F18DD" w:rsidRPr="00097FBD" w:rsidRDefault="008303AC" w:rsidP="001F18DD">
            <w:pPr>
              <w:jc w:val="both"/>
              <w:rPr>
                <w:b/>
                <w:sz w:val="20"/>
                <w:szCs w:val="20"/>
              </w:rPr>
            </w:pPr>
            <w:r w:rsidRPr="00097FBD">
              <w:rPr>
                <w:b/>
                <w:sz w:val="20"/>
                <w:szCs w:val="20"/>
              </w:rPr>
              <w:t>Stan realizacji kamieni milowych na zakończenie projektu</w:t>
            </w:r>
          </w:p>
          <w:tbl>
            <w:tblPr>
              <w:tblStyle w:val="Tabela-Siatka"/>
              <w:tblW w:w="6913" w:type="dxa"/>
              <w:tblLayout w:type="fixed"/>
              <w:tblLook w:val="04A0" w:firstRow="1" w:lastRow="0" w:firstColumn="1" w:lastColumn="0" w:noHBand="0" w:noVBand="1"/>
              <w:tblCaption w:val="Kamienie milowe."/>
            </w:tblPr>
            <w:tblGrid>
              <w:gridCol w:w="1663"/>
              <w:gridCol w:w="1077"/>
              <w:gridCol w:w="1122"/>
              <w:gridCol w:w="3051"/>
            </w:tblGrid>
            <w:tr w:rsidR="005B132F" w:rsidRPr="001F18DD" w14:paraId="2C254B6F" w14:textId="77777777" w:rsidTr="008F5932">
              <w:trPr>
                <w:tblHeader/>
              </w:trPr>
              <w:tc>
                <w:tcPr>
                  <w:tcW w:w="1663" w:type="dxa"/>
                  <w:shd w:val="clear" w:color="auto" w:fill="D0CECE" w:themeFill="background2" w:themeFillShade="E6"/>
                </w:tcPr>
                <w:p w14:paraId="3B75AA84" w14:textId="77777777" w:rsidR="005B132F" w:rsidRPr="00097FBD" w:rsidRDefault="005B132F" w:rsidP="001F18DD">
                  <w:pPr>
                    <w:jc w:val="both"/>
                    <w:rPr>
                      <w:b/>
                      <w:sz w:val="18"/>
                      <w:szCs w:val="20"/>
                    </w:rPr>
                  </w:pPr>
                  <w:r w:rsidRPr="00097FBD">
                    <w:rPr>
                      <w:b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1077" w:type="dxa"/>
                  <w:shd w:val="clear" w:color="auto" w:fill="D0CECE" w:themeFill="background2" w:themeFillShade="E6"/>
                </w:tcPr>
                <w:p w14:paraId="2C1B6598" w14:textId="77777777" w:rsidR="005B132F" w:rsidRPr="00097FBD" w:rsidRDefault="005B132F" w:rsidP="001F18DD">
                  <w:pPr>
                    <w:jc w:val="both"/>
                    <w:rPr>
                      <w:b/>
                      <w:sz w:val="18"/>
                      <w:szCs w:val="20"/>
                    </w:rPr>
                  </w:pPr>
                  <w:r w:rsidRPr="00097FBD">
                    <w:rPr>
                      <w:b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122" w:type="dxa"/>
                  <w:shd w:val="clear" w:color="auto" w:fill="D0CECE" w:themeFill="background2" w:themeFillShade="E6"/>
                </w:tcPr>
                <w:p w14:paraId="32153151" w14:textId="77777777" w:rsidR="005B132F" w:rsidRPr="00097FBD" w:rsidRDefault="005B132F" w:rsidP="001F18DD">
                  <w:pPr>
                    <w:jc w:val="both"/>
                    <w:rPr>
                      <w:b/>
                      <w:sz w:val="18"/>
                      <w:szCs w:val="20"/>
                    </w:rPr>
                  </w:pPr>
                  <w:r w:rsidRPr="00097FBD">
                    <w:rPr>
                      <w:b/>
                      <w:sz w:val="18"/>
                      <w:szCs w:val="20"/>
                    </w:rPr>
                    <w:t>Rzeczywisty termin osiągnięcia</w:t>
                  </w:r>
                </w:p>
              </w:tc>
              <w:tc>
                <w:tcPr>
                  <w:tcW w:w="3051" w:type="dxa"/>
                  <w:shd w:val="clear" w:color="auto" w:fill="D0CECE" w:themeFill="background2" w:themeFillShade="E6"/>
                </w:tcPr>
                <w:p w14:paraId="7211B3A2" w14:textId="77777777" w:rsidR="005B132F" w:rsidRPr="00097FBD" w:rsidRDefault="005B132F" w:rsidP="001F18DD">
                  <w:pPr>
                    <w:jc w:val="both"/>
                    <w:rPr>
                      <w:b/>
                      <w:sz w:val="18"/>
                      <w:szCs w:val="20"/>
                    </w:rPr>
                  </w:pPr>
                  <w:r w:rsidRPr="00097FBD">
                    <w:rPr>
                      <w:b/>
                      <w:sz w:val="18"/>
                      <w:szCs w:val="20"/>
                    </w:rPr>
                    <w:t>Status realizacji kamienia milowego</w:t>
                  </w:r>
                </w:p>
              </w:tc>
            </w:tr>
            <w:tr w:rsidR="005B132F" w:rsidRPr="001F18DD" w14:paraId="1A992C1A" w14:textId="77777777" w:rsidTr="008F5932">
              <w:tc>
                <w:tcPr>
                  <w:tcW w:w="1663" w:type="dxa"/>
                </w:tcPr>
                <w:p w14:paraId="2DCBA549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 xml:space="preserve">Wypracowanie standardu usług i danych </w:t>
                  </w:r>
                </w:p>
              </w:tc>
              <w:tc>
                <w:tcPr>
                  <w:tcW w:w="1077" w:type="dxa"/>
                </w:tcPr>
                <w:p w14:paraId="7890B1B1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05-2018</w:t>
                  </w:r>
                </w:p>
              </w:tc>
              <w:tc>
                <w:tcPr>
                  <w:tcW w:w="1122" w:type="dxa"/>
                </w:tcPr>
                <w:p w14:paraId="61FDBAC6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07-2018</w:t>
                  </w:r>
                </w:p>
              </w:tc>
              <w:tc>
                <w:tcPr>
                  <w:tcW w:w="3051" w:type="dxa"/>
                </w:tcPr>
                <w:p w14:paraId="5DF33849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Osiągnięty.</w:t>
                  </w:r>
                </w:p>
                <w:p w14:paraId="56C33A1C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Przyczyny zwłoki w osiągnięciu: Ze względu na obszerność merytoryczną materiału i konieczność zredefiniowania podejścia w zakresie publikacji standardów, dokonano zmiany w podejściu i materiał został opublikowany w 3 częściach, uwzględniając na każdym etapie bardzo intensywne, iteracyjne prace z wykonawcą oraz konsultacje materiału z interesariuszami projektu.</w:t>
                  </w:r>
                </w:p>
              </w:tc>
            </w:tr>
            <w:tr w:rsidR="005B132F" w:rsidRPr="001F18DD" w14:paraId="45035061" w14:textId="77777777" w:rsidTr="008F5932">
              <w:tc>
                <w:tcPr>
                  <w:tcW w:w="1663" w:type="dxa"/>
                </w:tcPr>
                <w:p w14:paraId="013D9274" w14:textId="3A8393AA" w:rsidR="005B132F" w:rsidRPr="00097FBD" w:rsidRDefault="008B28D4" w:rsidP="008B28D4">
                  <w:pPr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Wdrożenie modułów i </w:t>
                  </w:r>
                  <w:r w:rsidR="005B132F" w:rsidRPr="00097FBD">
                    <w:rPr>
                      <w:sz w:val="18"/>
                      <w:szCs w:val="20"/>
                    </w:rPr>
                    <w:t>komponentów: BZP, e-Sender, Manager Tożsamości, CRD w</w:t>
                  </w:r>
                  <w:r>
                    <w:rPr>
                      <w:sz w:val="18"/>
                      <w:szCs w:val="20"/>
                    </w:rPr>
                    <w:t> </w:t>
                  </w:r>
                  <w:r w:rsidR="005B132F" w:rsidRPr="00097FBD">
                    <w:rPr>
                      <w:sz w:val="18"/>
                      <w:szCs w:val="20"/>
                    </w:rPr>
                    <w:t>zakresie wdrażanych modułów. </w:t>
                  </w:r>
                </w:p>
              </w:tc>
              <w:tc>
                <w:tcPr>
                  <w:tcW w:w="1077" w:type="dxa"/>
                </w:tcPr>
                <w:p w14:paraId="322817AD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01-2019</w:t>
                  </w:r>
                </w:p>
              </w:tc>
              <w:tc>
                <w:tcPr>
                  <w:tcW w:w="1122" w:type="dxa"/>
                </w:tcPr>
                <w:p w14:paraId="47210FC8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  <w:tc>
                <w:tcPr>
                  <w:tcW w:w="3051" w:type="dxa"/>
                </w:tcPr>
                <w:p w14:paraId="5A673905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Ze względu na podjęcie decyzji o braku kontynuacji Projektu nie został osiągnięty.</w:t>
                  </w:r>
                </w:p>
              </w:tc>
            </w:tr>
            <w:tr w:rsidR="005B132F" w:rsidRPr="001F18DD" w14:paraId="4E8F2962" w14:textId="77777777" w:rsidTr="008F5932">
              <w:tc>
                <w:tcPr>
                  <w:tcW w:w="1663" w:type="dxa"/>
                </w:tcPr>
                <w:p w14:paraId="2B2F71BB" w14:textId="2A723FDA" w:rsidR="005B132F" w:rsidRPr="00097FBD" w:rsidRDefault="008B28D4" w:rsidP="008B28D4">
                  <w:pPr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Wdrożenie modułów i komponentów: Przyjmowania i </w:t>
                  </w:r>
                  <w:r w:rsidR="005B132F" w:rsidRPr="00097FBD">
                    <w:rPr>
                      <w:sz w:val="18"/>
                      <w:szCs w:val="20"/>
                    </w:rPr>
                    <w:t>Zabezpieczeni</w:t>
                  </w:r>
                  <w:r>
                    <w:rPr>
                      <w:sz w:val="18"/>
                      <w:szCs w:val="20"/>
                    </w:rPr>
                    <w:t>a Ofert, Zarządcy Kluczy, CRD w </w:t>
                  </w:r>
                  <w:r w:rsidR="005B132F" w:rsidRPr="00097FBD">
                    <w:rPr>
                      <w:sz w:val="18"/>
                      <w:szCs w:val="20"/>
                    </w:rPr>
                    <w:t>zakresie wdrażanych modułów.</w:t>
                  </w:r>
                </w:p>
              </w:tc>
              <w:tc>
                <w:tcPr>
                  <w:tcW w:w="1077" w:type="dxa"/>
                </w:tcPr>
                <w:p w14:paraId="562ADA44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03-2019</w:t>
                  </w:r>
                </w:p>
              </w:tc>
              <w:tc>
                <w:tcPr>
                  <w:tcW w:w="1122" w:type="dxa"/>
                </w:tcPr>
                <w:p w14:paraId="4504398C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  <w:tc>
                <w:tcPr>
                  <w:tcW w:w="3051" w:type="dxa"/>
                </w:tcPr>
                <w:p w14:paraId="4E207757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Ze względu na podjęcie decyzji o braku kontynuacji Projektu nie został osiągnięty.</w:t>
                  </w:r>
                </w:p>
              </w:tc>
            </w:tr>
            <w:tr w:rsidR="005B132F" w:rsidRPr="001F18DD" w14:paraId="20051BE2" w14:textId="77777777" w:rsidTr="008F5932">
              <w:tc>
                <w:tcPr>
                  <w:tcW w:w="1663" w:type="dxa"/>
                </w:tcPr>
                <w:p w14:paraId="65337A34" w14:textId="7C5D337A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Wdrożenie peł</w:t>
                  </w:r>
                  <w:r w:rsidR="008B28D4">
                    <w:rPr>
                      <w:sz w:val="18"/>
                      <w:szCs w:val="20"/>
                    </w:rPr>
                    <w:t>nej funkcjonalności Platformy e</w:t>
                  </w:r>
                  <w:r w:rsidR="008B28D4">
                    <w:rPr>
                      <w:sz w:val="18"/>
                      <w:szCs w:val="20"/>
                    </w:rPr>
                    <w:noBreakHyphen/>
                    <w:t>Zamówień  w </w:t>
                  </w:r>
                  <w:r w:rsidRPr="00097FBD">
                    <w:rPr>
                      <w:sz w:val="18"/>
                      <w:szCs w:val="20"/>
                    </w:rPr>
                    <w:t>zakresie modułów: CRD, BZP, e-Sender, Moduł Przyjmowania i Zabezpieczania Ofert oraz komponentów wspierających</w:t>
                  </w:r>
                </w:p>
              </w:tc>
              <w:tc>
                <w:tcPr>
                  <w:tcW w:w="1077" w:type="dxa"/>
                </w:tcPr>
                <w:p w14:paraId="02E4026C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04-2019</w:t>
                  </w:r>
                </w:p>
              </w:tc>
              <w:tc>
                <w:tcPr>
                  <w:tcW w:w="1122" w:type="dxa"/>
                </w:tcPr>
                <w:p w14:paraId="003DA16F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  <w:tc>
                <w:tcPr>
                  <w:tcW w:w="3051" w:type="dxa"/>
                </w:tcPr>
                <w:p w14:paraId="5766DBA5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Ze względu na podjęcie decyzji o braku kontynuacji Projektu nie został osiągnięty.</w:t>
                  </w:r>
                </w:p>
              </w:tc>
            </w:tr>
            <w:tr w:rsidR="005B132F" w:rsidRPr="001F18DD" w14:paraId="4ED590A4" w14:textId="77777777" w:rsidTr="008B28D4">
              <w:tc>
                <w:tcPr>
                  <w:tcW w:w="1663" w:type="dxa"/>
                  <w:tcMar>
                    <w:left w:w="85" w:type="dxa"/>
                    <w:right w:w="85" w:type="dxa"/>
                  </w:tcMar>
                </w:tcPr>
                <w:p w14:paraId="7F0B799A" w14:textId="26D5921D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W</w:t>
                  </w:r>
                  <w:r w:rsidR="008B28D4">
                    <w:rPr>
                      <w:sz w:val="18"/>
                      <w:szCs w:val="20"/>
                    </w:rPr>
                    <w:t>drożenie modułu Monitorowania i </w:t>
                  </w:r>
                  <w:r w:rsidRPr="00097FBD">
                    <w:rPr>
                      <w:sz w:val="18"/>
                      <w:szCs w:val="20"/>
                    </w:rPr>
                    <w:t>Analiz (sprawozdawczości</w:t>
                  </w:r>
                  <w:r w:rsidR="008B28D4">
                    <w:rPr>
                      <w:sz w:val="18"/>
                      <w:szCs w:val="20"/>
                    </w:rPr>
                    <w:t>,</w:t>
                  </w:r>
                  <w:r w:rsidRPr="00097FBD">
                    <w:rPr>
                      <w:sz w:val="18"/>
                      <w:szCs w:val="20"/>
                    </w:rPr>
                    <w:t xml:space="preserve"> kontroli)</w:t>
                  </w:r>
                </w:p>
              </w:tc>
              <w:tc>
                <w:tcPr>
                  <w:tcW w:w="1077" w:type="dxa"/>
                </w:tcPr>
                <w:p w14:paraId="7644F43D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06-2019</w:t>
                  </w:r>
                </w:p>
              </w:tc>
              <w:tc>
                <w:tcPr>
                  <w:tcW w:w="1122" w:type="dxa"/>
                </w:tcPr>
                <w:p w14:paraId="4E5ACC8F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  <w:tc>
                <w:tcPr>
                  <w:tcW w:w="3051" w:type="dxa"/>
                </w:tcPr>
                <w:p w14:paraId="0C66624B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Ze względu na podjęcie decyzji o braku kontynuacji Projektu nie został osiągnięty.</w:t>
                  </w:r>
                </w:p>
              </w:tc>
            </w:tr>
            <w:tr w:rsidR="005B132F" w:rsidRPr="001F18DD" w14:paraId="4539E3E2" w14:textId="77777777" w:rsidTr="008F5932">
              <w:tc>
                <w:tcPr>
                  <w:tcW w:w="1663" w:type="dxa"/>
                </w:tcPr>
                <w:p w14:paraId="721AC2A9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 xml:space="preserve">Wdrożenie modułu Aukcje i Licytacja </w:t>
                  </w:r>
                </w:p>
              </w:tc>
              <w:tc>
                <w:tcPr>
                  <w:tcW w:w="1077" w:type="dxa"/>
                </w:tcPr>
                <w:p w14:paraId="07AABA7E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07-2019</w:t>
                  </w:r>
                </w:p>
              </w:tc>
              <w:tc>
                <w:tcPr>
                  <w:tcW w:w="1122" w:type="dxa"/>
                </w:tcPr>
                <w:p w14:paraId="3BC1393C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  <w:tc>
                <w:tcPr>
                  <w:tcW w:w="3051" w:type="dxa"/>
                </w:tcPr>
                <w:p w14:paraId="7EBD74E1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Ze względu na podjęcie decyzji o braku kontynuacji Projektu nie został osiągnięty.</w:t>
                  </w:r>
                </w:p>
              </w:tc>
            </w:tr>
            <w:tr w:rsidR="005B132F" w:rsidRPr="001F18DD" w14:paraId="21381A92" w14:textId="77777777" w:rsidTr="008F5932">
              <w:tc>
                <w:tcPr>
                  <w:tcW w:w="1663" w:type="dxa"/>
                </w:tcPr>
                <w:p w14:paraId="58E83096" w14:textId="33A8CF6A" w:rsidR="005B132F" w:rsidRPr="00097FBD" w:rsidRDefault="008B28D4" w:rsidP="008B28D4">
                  <w:pPr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lastRenderedPageBreak/>
                    <w:t>Integracja CRD z </w:t>
                  </w:r>
                  <w:r w:rsidR="005B132F" w:rsidRPr="00097FBD">
                    <w:rPr>
                      <w:sz w:val="18"/>
                      <w:szCs w:val="20"/>
                    </w:rPr>
                    <w:t xml:space="preserve">usługą odwołania elektronicznego </w:t>
                  </w:r>
                </w:p>
              </w:tc>
              <w:tc>
                <w:tcPr>
                  <w:tcW w:w="1077" w:type="dxa"/>
                </w:tcPr>
                <w:p w14:paraId="5E9CE260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10-2019</w:t>
                  </w:r>
                </w:p>
              </w:tc>
              <w:tc>
                <w:tcPr>
                  <w:tcW w:w="1122" w:type="dxa"/>
                </w:tcPr>
                <w:p w14:paraId="43A56EB1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  <w:tc>
                <w:tcPr>
                  <w:tcW w:w="3051" w:type="dxa"/>
                </w:tcPr>
                <w:p w14:paraId="3C9452C5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Ze względu na podjęcie decyzji o braku kontynuacji Projektu nie został osiągnięty.</w:t>
                  </w:r>
                </w:p>
              </w:tc>
            </w:tr>
            <w:tr w:rsidR="005B132F" w:rsidRPr="001F18DD" w14:paraId="6C824809" w14:textId="77777777" w:rsidTr="008F5932">
              <w:tc>
                <w:tcPr>
                  <w:tcW w:w="1663" w:type="dxa"/>
                </w:tcPr>
                <w:p w14:paraId="00602610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Zakończenie realizacji projektu</w:t>
                  </w:r>
                </w:p>
              </w:tc>
              <w:tc>
                <w:tcPr>
                  <w:tcW w:w="1077" w:type="dxa"/>
                </w:tcPr>
                <w:p w14:paraId="03A0F12F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03-2020</w:t>
                  </w:r>
                </w:p>
              </w:tc>
              <w:tc>
                <w:tcPr>
                  <w:tcW w:w="1122" w:type="dxa"/>
                </w:tcPr>
                <w:p w14:paraId="5051427C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  <w:tc>
                <w:tcPr>
                  <w:tcW w:w="3051" w:type="dxa"/>
                </w:tcPr>
                <w:p w14:paraId="58706FEA" w14:textId="77777777" w:rsidR="005B132F" w:rsidRPr="00097FBD" w:rsidRDefault="005B132F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Ze względu na podjęcie decyzji o braku kontynuacji Projektu nie został osiągnięty.</w:t>
                  </w:r>
                </w:p>
              </w:tc>
            </w:tr>
          </w:tbl>
          <w:p w14:paraId="5D126DEA" w14:textId="77777777" w:rsidR="001F18DD" w:rsidRPr="002450C4" w:rsidRDefault="001F18DD" w:rsidP="009D3D41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4D135D" w:rsidRPr="002450C4" w14:paraId="68329956" w14:textId="77777777" w:rsidTr="006A7EBF">
        <w:tc>
          <w:tcPr>
            <w:tcW w:w="376" w:type="dxa"/>
          </w:tcPr>
          <w:p w14:paraId="1B755429" w14:textId="221B109F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7F2A59D2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7229" w:type="dxa"/>
          </w:tcPr>
          <w:p w14:paraId="3F1756B6" w14:textId="77777777" w:rsidR="006027B2" w:rsidRDefault="006027B2" w:rsidP="00E30008">
            <w:pPr>
              <w:rPr>
                <w:bCs/>
                <w:i/>
                <w:sz w:val="18"/>
                <w:szCs w:val="20"/>
              </w:rPr>
            </w:pPr>
          </w:p>
          <w:tbl>
            <w:tblPr>
              <w:tblStyle w:val="Tabela-Siatka"/>
              <w:tblW w:w="6980" w:type="dxa"/>
              <w:tblLayout w:type="fixed"/>
              <w:tblLook w:val="04A0" w:firstRow="1" w:lastRow="0" w:firstColumn="1" w:lastColumn="0" w:noHBand="0" w:noVBand="1"/>
            </w:tblPr>
            <w:tblGrid>
              <w:gridCol w:w="2654"/>
              <w:gridCol w:w="1066"/>
              <w:gridCol w:w="1134"/>
              <w:gridCol w:w="1134"/>
              <w:gridCol w:w="992"/>
            </w:tblGrid>
            <w:tr w:rsidR="006027B2" w:rsidRPr="00141A92" w14:paraId="4A93D8CC" w14:textId="77777777" w:rsidTr="008F5932">
              <w:trPr>
                <w:tblHeader/>
              </w:trPr>
              <w:tc>
                <w:tcPr>
                  <w:tcW w:w="2654" w:type="dxa"/>
                  <w:shd w:val="clear" w:color="auto" w:fill="D0CECE" w:themeFill="background2" w:themeFillShade="E6"/>
                  <w:vAlign w:val="center"/>
                </w:tcPr>
                <w:p w14:paraId="7D665A22" w14:textId="77777777" w:rsidR="006027B2" w:rsidRPr="00097FBD" w:rsidRDefault="006027B2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1066" w:type="dxa"/>
                  <w:shd w:val="clear" w:color="auto" w:fill="D0CECE" w:themeFill="background2" w:themeFillShade="E6"/>
                </w:tcPr>
                <w:p w14:paraId="5A9CB845" w14:textId="77777777" w:rsidR="006027B2" w:rsidRPr="00097FBD" w:rsidRDefault="006027B2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Poziom dojrzałości</w:t>
                  </w:r>
                </w:p>
              </w:tc>
              <w:tc>
                <w:tcPr>
                  <w:tcW w:w="1134" w:type="dxa"/>
                  <w:shd w:val="clear" w:color="auto" w:fill="D0CECE" w:themeFill="background2" w:themeFillShade="E6"/>
                  <w:vAlign w:val="center"/>
                </w:tcPr>
                <w:p w14:paraId="49561AE3" w14:textId="77777777" w:rsidR="006027B2" w:rsidRPr="00097FBD" w:rsidRDefault="006027B2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Planowana data wdrożenia</w:t>
                  </w:r>
                </w:p>
              </w:tc>
              <w:tc>
                <w:tcPr>
                  <w:tcW w:w="1134" w:type="dxa"/>
                  <w:shd w:val="clear" w:color="auto" w:fill="D0CECE" w:themeFill="background2" w:themeFillShade="E6"/>
                </w:tcPr>
                <w:p w14:paraId="07525EEB" w14:textId="77777777" w:rsidR="006027B2" w:rsidRPr="00097FBD" w:rsidRDefault="006027B2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Rzeczywista data wdrożenia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  <w:vAlign w:val="center"/>
                </w:tcPr>
                <w:p w14:paraId="7E1018C9" w14:textId="77777777" w:rsidR="006027B2" w:rsidRPr="00097FBD" w:rsidRDefault="006027B2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Opis zmian</w:t>
                  </w:r>
                </w:p>
              </w:tc>
            </w:tr>
            <w:tr w:rsidR="00BA5DEC" w14:paraId="6872200E" w14:textId="77777777" w:rsidTr="008F5932">
              <w:tc>
                <w:tcPr>
                  <w:tcW w:w="2654" w:type="dxa"/>
                </w:tcPr>
                <w:p w14:paraId="24F0D4AA" w14:textId="77777777" w:rsidR="00BA5DEC" w:rsidRPr="00097FBD" w:rsidRDefault="00BA5DEC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Centralne Repozytorium Danych</w:t>
                  </w:r>
                </w:p>
              </w:tc>
              <w:tc>
                <w:tcPr>
                  <w:tcW w:w="1066" w:type="dxa"/>
                </w:tcPr>
                <w:p w14:paraId="461B4D55" w14:textId="77777777" w:rsidR="00BA5DEC" w:rsidRPr="00097FBD" w:rsidRDefault="00BA5DEC" w:rsidP="006027B2">
                  <w:pPr>
                    <w:jc w:val="center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20728BF9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01-2019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14:paraId="65709DFB" w14:textId="77777777" w:rsidR="00BA5DEC" w:rsidRPr="00097FBD" w:rsidRDefault="00BA5DEC" w:rsidP="00BA5DEC">
                  <w:pPr>
                    <w:jc w:val="center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Ze względu na podjęcie decyzji o braku kontynuacji Projektu usługi nie zostały osiągnięte.</w:t>
                  </w:r>
                </w:p>
              </w:tc>
              <w:tc>
                <w:tcPr>
                  <w:tcW w:w="992" w:type="dxa"/>
                </w:tcPr>
                <w:p w14:paraId="2C698DD0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</w:tr>
            <w:tr w:rsidR="00097FBD" w14:paraId="22625F28" w14:textId="77777777" w:rsidTr="008F5932">
              <w:tc>
                <w:tcPr>
                  <w:tcW w:w="2654" w:type="dxa"/>
                </w:tcPr>
                <w:p w14:paraId="7D449B77" w14:textId="77777777" w:rsidR="00097FBD" w:rsidRPr="00097FBD" w:rsidRDefault="00097FBD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Przygotowanie i publikacja ogłoszeń w BZP i TED wraz z usługą eSender</w:t>
                  </w:r>
                </w:p>
              </w:tc>
              <w:tc>
                <w:tcPr>
                  <w:tcW w:w="1066" w:type="dxa"/>
                </w:tcPr>
                <w:p w14:paraId="4C0D1107" w14:textId="77777777" w:rsidR="00097FBD" w:rsidRPr="00097FBD" w:rsidRDefault="00097FBD" w:rsidP="006027B2">
                  <w:pPr>
                    <w:jc w:val="center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5</w:t>
                  </w:r>
                </w:p>
                <w:p w14:paraId="2C53097E" w14:textId="77777777" w:rsidR="00097FBD" w:rsidRPr="00097FBD" w:rsidRDefault="00097FBD" w:rsidP="006027B2">
                  <w:pPr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089FF959" w14:textId="77777777" w:rsidR="00097FBD" w:rsidRPr="00097FBD" w:rsidRDefault="00097FBD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01-2019</w:t>
                  </w:r>
                </w:p>
                <w:p w14:paraId="7C2D8540" w14:textId="77777777" w:rsidR="00097FBD" w:rsidRPr="00097FBD" w:rsidRDefault="00097FBD" w:rsidP="006027B2">
                  <w:pPr>
                    <w:jc w:val="both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795DD1BF" w14:textId="77777777" w:rsidR="00097FBD" w:rsidRPr="00097FBD" w:rsidRDefault="00097FBD" w:rsidP="006027B2">
                  <w:pPr>
                    <w:jc w:val="both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1F448300" w14:textId="77777777" w:rsidR="00097FBD" w:rsidRPr="00097FBD" w:rsidRDefault="00097FBD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</w:tr>
            <w:tr w:rsidR="00BA5DEC" w14:paraId="7FB378A8" w14:textId="77777777" w:rsidTr="008F5932">
              <w:tc>
                <w:tcPr>
                  <w:tcW w:w="2654" w:type="dxa"/>
                </w:tcPr>
                <w:p w14:paraId="32E9584D" w14:textId="77777777" w:rsidR="00BA5DEC" w:rsidRPr="00097FBD" w:rsidRDefault="00BA5DEC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Przyjmowanie i udostępnianie ofert / wniosków</w:t>
                  </w:r>
                </w:p>
              </w:tc>
              <w:tc>
                <w:tcPr>
                  <w:tcW w:w="1066" w:type="dxa"/>
                </w:tcPr>
                <w:p w14:paraId="3CED427D" w14:textId="77777777" w:rsidR="00BA5DEC" w:rsidRPr="00097FBD" w:rsidRDefault="00BA5DEC" w:rsidP="006027B2">
                  <w:pPr>
                    <w:jc w:val="center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751C77F2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03-2019</w:t>
                  </w:r>
                </w:p>
              </w:tc>
              <w:tc>
                <w:tcPr>
                  <w:tcW w:w="1134" w:type="dxa"/>
                  <w:vMerge/>
                </w:tcPr>
                <w:p w14:paraId="60326424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0838A235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</w:tr>
            <w:tr w:rsidR="00BA5DEC" w14:paraId="6B89635D" w14:textId="77777777" w:rsidTr="008F5932">
              <w:tc>
                <w:tcPr>
                  <w:tcW w:w="2654" w:type="dxa"/>
                </w:tcPr>
                <w:p w14:paraId="2328C815" w14:textId="77777777" w:rsidR="00BA5DEC" w:rsidRPr="00097FBD" w:rsidRDefault="00BA5DEC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Analityka biznesowa (BI) danych z obszaru zamówień publicznych</w:t>
                  </w:r>
                </w:p>
              </w:tc>
              <w:tc>
                <w:tcPr>
                  <w:tcW w:w="1066" w:type="dxa"/>
                </w:tcPr>
                <w:p w14:paraId="6E909BA0" w14:textId="77777777" w:rsidR="00BA5DEC" w:rsidRPr="00097FBD" w:rsidRDefault="00BA5DEC" w:rsidP="006027B2">
                  <w:pPr>
                    <w:jc w:val="center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3CAF4CB3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06-2019</w:t>
                  </w:r>
                </w:p>
              </w:tc>
              <w:tc>
                <w:tcPr>
                  <w:tcW w:w="1134" w:type="dxa"/>
                  <w:vMerge/>
                </w:tcPr>
                <w:p w14:paraId="2C1E475F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20A4C0E9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</w:tr>
            <w:tr w:rsidR="00BA5DEC" w14:paraId="0A7DF417" w14:textId="77777777" w:rsidTr="008F5932">
              <w:tc>
                <w:tcPr>
                  <w:tcW w:w="2654" w:type="dxa"/>
                </w:tcPr>
                <w:p w14:paraId="10B5D3E2" w14:textId="77777777" w:rsidR="00BA5DEC" w:rsidRPr="00097FBD" w:rsidRDefault="00BA5DEC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Monitorowanie i analiza funkcjonowania systemu zamówień (A2A)</w:t>
                  </w:r>
                </w:p>
              </w:tc>
              <w:tc>
                <w:tcPr>
                  <w:tcW w:w="1066" w:type="dxa"/>
                </w:tcPr>
                <w:p w14:paraId="2A8E4A90" w14:textId="77777777" w:rsidR="00BA5DEC" w:rsidRPr="00097FBD" w:rsidRDefault="00BA5DEC" w:rsidP="006027B2">
                  <w:pPr>
                    <w:jc w:val="center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  <w:tc>
                <w:tcPr>
                  <w:tcW w:w="1134" w:type="dxa"/>
                </w:tcPr>
                <w:p w14:paraId="2FCF3867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06-2019</w:t>
                  </w:r>
                </w:p>
              </w:tc>
              <w:tc>
                <w:tcPr>
                  <w:tcW w:w="1134" w:type="dxa"/>
                  <w:vMerge/>
                </w:tcPr>
                <w:p w14:paraId="3BB382D6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70AF2727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</w:tr>
            <w:tr w:rsidR="00BA5DEC" w14:paraId="3D16AFEC" w14:textId="77777777" w:rsidTr="008F5932">
              <w:tc>
                <w:tcPr>
                  <w:tcW w:w="2654" w:type="dxa"/>
                </w:tcPr>
                <w:p w14:paraId="1D09BFA5" w14:textId="77777777" w:rsidR="00BA5DEC" w:rsidRPr="00097FBD" w:rsidRDefault="00BA5DEC" w:rsidP="008B28D4">
                  <w:pPr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Aukcje elektroniczne i licytacje</w:t>
                  </w:r>
                </w:p>
              </w:tc>
              <w:tc>
                <w:tcPr>
                  <w:tcW w:w="1066" w:type="dxa"/>
                </w:tcPr>
                <w:p w14:paraId="1A09D3A4" w14:textId="77777777" w:rsidR="00BA5DEC" w:rsidRPr="00097FBD" w:rsidRDefault="00BA5DEC" w:rsidP="006027B2">
                  <w:pPr>
                    <w:jc w:val="center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060904FC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07-2019</w:t>
                  </w:r>
                </w:p>
              </w:tc>
              <w:tc>
                <w:tcPr>
                  <w:tcW w:w="1134" w:type="dxa"/>
                  <w:vMerge/>
                </w:tcPr>
                <w:p w14:paraId="2310F930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5D345E68" w14:textId="77777777" w:rsidR="00BA5DEC" w:rsidRPr="00097FBD" w:rsidRDefault="00BA5DEC" w:rsidP="006027B2">
                  <w:pPr>
                    <w:jc w:val="both"/>
                    <w:rPr>
                      <w:sz w:val="18"/>
                      <w:szCs w:val="20"/>
                    </w:rPr>
                  </w:pPr>
                  <w:r w:rsidRPr="00097FBD">
                    <w:rPr>
                      <w:sz w:val="18"/>
                      <w:szCs w:val="20"/>
                    </w:rPr>
                    <w:t>n/d</w:t>
                  </w:r>
                </w:p>
              </w:tc>
            </w:tr>
          </w:tbl>
          <w:p w14:paraId="2A67B90B" w14:textId="77777777" w:rsidR="006027B2" w:rsidRDefault="006027B2" w:rsidP="00E30008">
            <w:pPr>
              <w:rPr>
                <w:bCs/>
                <w:i/>
                <w:sz w:val="18"/>
                <w:szCs w:val="20"/>
              </w:rPr>
            </w:pPr>
          </w:p>
        </w:tc>
      </w:tr>
      <w:tr w:rsidR="00920CE8" w:rsidRPr="002450C4" w14:paraId="704ED9B9" w14:textId="77777777" w:rsidTr="006A7EBF">
        <w:tc>
          <w:tcPr>
            <w:tcW w:w="376" w:type="dxa"/>
          </w:tcPr>
          <w:p w14:paraId="783156E0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17DEB907" w14:textId="31226E78" w:rsidR="00920CE8" w:rsidRPr="002450C4" w:rsidRDefault="008B28D4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 </w:t>
            </w:r>
            <w:r w:rsidR="00920CE8">
              <w:rPr>
                <w:sz w:val="18"/>
                <w:szCs w:val="20"/>
              </w:rPr>
              <w:t>realizacji strategicznych celów Państwa</w:t>
            </w:r>
          </w:p>
        </w:tc>
        <w:tc>
          <w:tcPr>
            <w:tcW w:w="7229" w:type="dxa"/>
          </w:tcPr>
          <w:p w14:paraId="18ACDAF5" w14:textId="77777777" w:rsidR="005264F0" w:rsidRDefault="005264F0" w:rsidP="008B28D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 powodu zamknięcia projektu decyzją Rady Portfela z dnia </w:t>
            </w:r>
            <w:r w:rsidRPr="003630E7">
              <w:rPr>
                <w:sz w:val="18"/>
                <w:szCs w:val="20"/>
              </w:rPr>
              <w:t>21 października 2019r</w:t>
            </w:r>
            <w:r>
              <w:rPr>
                <w:sz w:val="18"/>
                <w:szCs w:val="20"/>
              </w:rPr>
              <w:t xml:space="preserve"> nie jest wykazywany aktualny stan realizacji poszczególnych wskaźników projektu. </w:t>
            </w:r>
          </w:p>
          <w:p w14:paraId="7F83C93C" w14:textId="365861C6" w:rsidR="005264F0" w:rsidRPr="003630E7" w:rsidRDefault="005264F0" w:rsidP="008B28D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Jednakże projekt e-Zamówienia został otwarty w nowej formule</w:t>
            </w:r>
            <w:r w:rsidR="00BF1F92">
              <w:rPr>
                <w:sz w:val="18"/>
                <w:szCs w:val="20"/>
              </w:rPr>
              <w:t>, w której Urząd</w:t>
            </w:r>
            <w:r w:rsidRPr="003630E7">
              <w:rPr>
                <w:sz w:val="18"/>
                <w:szCs w:val="20"/>
              </w:rPr>
              <w:t xml:space="preserve"> Zamówień Publicznych (UZP)</w:t>
            </w:r>
            <w:r w:rsidR="00BF1F92">
              <w:rPr>
                <w:sz w:val="18"/>
                <w:szCs w:val="20"/>
              </w:rPr>
              <w:t xml:space="preserve"> występuje</w:t>
            </w:r>
            <w:r w:rsidRPr="003630E7">
              <w:rPr>
                <w:sz w:val="18"/>
                <w:szCs w:val="20"/>
              </w:rPr>
              <w:t xml:space="preserve"> w roli</w:t>
            </w:r>
            <w:r w:rsidR="00BF1F92">
              <w:rPr>
                <w:sz w:val="18"/>
                <w:szCs w:val="20"/>
              </w:rPr>
              <w:t xml:space="preserve"> projektowej POPC Beneficjenta a Ministerstwo</w:t>
            </w:r>
            <w:r w:rsidR="008B28D4">
              <w:rPr>
                <w:sz w:val="18"/>
                <w:szCs w:val="20"/>
              </w:rPr>
              <w:t xml:space="preserve"> Cyfryzacji w </w:t>
            </w:r>
            <w:r w:rsidRPr="003630E7">
              <w:rPr>
                <w:sz w:val="18"/>
                <w:szCs w:val="20"/>
              </w:rPr>
              <w:t>roli projektowej POPC Partnera. Porozumienie o partnerstwie na rzecz wspólnego przygotowania i realizacji Projektu pn. „e-Zamówienia – elektroniczne zamówienia publiczne” pomiędzy Prezesem Urzędu Zamówień Publicznych a Ministrem Cyfryzacji podpisano w dniu 30 maja 2019 roku. Porozumienie nr POPC.02.01.00-00-0101/19-00 o dofinansowanie projektu zostało podpisane w dniu 25 września 2019r.</w:t>
            </w:r>
          </w:p>
          <w:p w14:paraId="6556025B" w14:textId="77777777" w:rsidR="005264F0" w:rsidRDefault="005264F0" w:rsidP="008B28D4">
            <w:pPr>
              <w:rPr>
                <w:sz w:val="18"/>
                <w:szCs w:val="20"/>
              </w:rPr>
            </w:pPr>
          </w:p>
          <w:p w14:paraId="392C3736" w14:textId="153FAFDC" w:rsidR="00696CB5" w:rsidRPr="002450C4" w:rsidRDefault="005264F0" w:rsidP="008B28D4">
            <w:pPr>
              <w:rPr>
                <w:i/>
                <w:sz w:val="18"/>
                <w:szCs w:val="20"/>
              </w:rPr>
            </w:pPr>
            <w:r w:rsidRPr="00B10F81">
              <w:rPr>
                <w:sz w:val="18"/>
                <w:szCs w:val="20"/>
              </w:rPr>
              <w:t xml:space="preserve">Nowy Projekt swoim zakresem uwzględnia większość planowanych funkcjonalności Platformy </w:t>
            </w:r>
            <w:r w:rsidR="00456E5C">
              <w:rPr>
                <w:sz w:val="18"/>
                <w:szCs w:val="20"/>
              </w:rPr>
              <w:t xml:space="preserve">          </w:t>
            </w:r>
            <w:r w:rsidRPr="00B10F81">
              <w:rPr>
                <w:sz w:val="18"/>
                <w:szCs w:val="20"/>
              </w:rPr>
              <w:t>e-Zamówienia, określo</w:t>
            </w:r>
            <w:r w:rsidR="00BF1F92">
              <w:rPr>
                <w:sz w:val="18"/>
                <w:szCs w:val="20"/>
              </w:rPr>
              <w:t>nych w projekcie poprzednim</w:t>
            </w:r>
            <w:r w:rsidRPr="005264F0">
              <w:rPr>
                <w:sz w:val="18"/>
                <w:szCs w:val="20"/>
              </w:rPr>
              <w:t xml:space="preserve"> i </w:t>
            </w:r>
            <w:r w:rsidRPr="00B10F81">
              <w:rPr>
                <w:sz w:val="18"/>
                <w:szCs w:val="20"/>
              </w:rPr>
              <w:t xml:space="preserve">wykorzystuje prace analityczne, wypracowane podejścia i rozwiązania, w tym odebraną dokumentację analityczno- techniczną, wykonane </w:t>
            </w:r>
            <w:r w:rsidR="00BF1F92" w:rsidRPr="00BF1F92">
              <w:rPr>
                <w:sz w:val="18"/>
                <w:szCs w:val="20"/>
              </w:rPr>
              <w:t>w ramach zamkniętego projektu</w:t>
            </w:r>
            <w:r w:rsidRPr="00B10F81">
              <w:rPr>
                <w:sz w:val="18"/>
                <w:szCs w:val="20"/>
              </w:rPr>
              <w:t>. Zmiany w za</w:t>
            </w:r>
            <w:r w:rsidR="008B28D4">
              <w:rPr>
                <w:sz w:val="18"/>
                <w:szCs w:val="20"/>
              </w:rPr>
              <w:t>kresie funkcjonalnym Projektu w </w:t>
            </w:r>
            <w:r w:rsidRPr="00B10F81">
              <w:rPr>
                <w:sz w:val="18"/>
                <w:szCs w:val="20"/>
              </w:rPr>
              <w:t>stosunku do projektu poprzedniego skupiają się na rozbudowie i poprawie funkcjonalności służących do komunikacji elektronicznej w procesie udzie</w:t>
            </w:r>
            <w:r w:rsidR="008B28D4">
              <w:rPr>
                <w:sz w:val="18"/>
                <w:szCs w:val="20"/>
              </w:rPr>
              <w:t>lenia zamówienia publicznego, w </w:t>
            </w:r>
            <w:r w:rsidRPr="00B10F81">
              <w:rPr>
                <w:sz w:val="18"/>
                <w:szCs w:val="20"/>
              </w:rPr>
              <w:t xml:space="preserve">szczególności na kompleksowej obsłudze czynności realizowanych przez wykonawców związanych ze składaniem i otwarciem ofert.  </w:t>
            </w:r>
          </w:p>
        </w:tc>
      </w:tr>
      <w:tr w:rsidR="007A0A3D" w:rsidRPr="002450C4" w14:paraId="7EA275F1" w14:textId="77777777" w:rsidTr="006A7EBF">
        <w:tc>
          <w:tcPr>
            <w:tcW w:w="376" w:type="dxa"/>
          </w:tcPr>
          <w:p w14:paraId="1C037682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4BE62D12" w14:textId="06B73123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</w:t>
            </w:r>
            <w:r w:rsidR="008B28D4">
              <w:rPr>
                <w:sz w:val="18"/>
                <w:szCs w:val="20"/>
              </w:rPr>
              <w:t>yka i </w:t>
            </w:r>
            <w:r>
              <w:rPr>
                <w:sz w:val="18"/>
                <w:szCs w:val="20"/>
              </w:rPr>
              <w:t>problemy</w:t>
            </w:r>
          </w:p>
        </w:tc>
        <w:tc>
          <w:tcPr>
            <w:tcW w:w="7229" w:type="dxa"/>
          </w:tcPr>
          <w:p w14:paraId="59F41AF8" w14:textId="77777777" w:rsidR="00664E4F" w:rsidRDefault="00664E4F" w:rsidP="008B28D4">
            <w:pPr>
              <w:rPr>
                <w:i/>
                <w:sz w:val="18"/>
                <w:szCs w:val="20"/>
              </w:rPr>
            </w:pPr>
          </w:p>
          <w:p w14:paraId="04BB72B7" w14:textId="77777777" w:rsidR="00F00B67" w:rsidRPr="008E3488" w:rsidRDefault="00F00B67" w:rsidP="008B28D4">
            <w:pPr>
              <w:rPr>
                <w:b/>
                <w:sz w:val="18"/>
                <w:szCs w:val="20"/>
              </w:rPr>
            </w:pPr>
            <w:r w:rsidRPr="008E3488">
              <w:rPr>
                <w:b/>
                <w:sz w:val="18"/>
                <w:szCs w:val="20"/>
              </w:rPr>
              <w:t xml:space="preserve">W czasie trwania projektu zidentyfikowano oraz zamknięto następujące problemy: </w:t>
            </w:r>
          </w:p>
          <w:p w14:paraId="262C890F" w14:textId="4E281D22" w:rsidR="00F00B67" w:rsidRPr="008E3488" w:rsidRDefault="00F00B67" w:rsidP="008B28D4">
            <w:pPr>
              <w:rPr>
                <w:sz w:val="18"/>
                <w:szCs w:val="20"/>
              </w:rPr>
            </w:pPr>
            <w:r w:rsidRPr="008E3488">
              <w:rPr>
                <w:sz w:val="18"/>
                <w:szCs w:val="20"/>
              </w:rPr>
              <w:t>1. Problem wynikający bezpośrednio z przedłużającego si</w:t>
            </w:r>
            <w:r w:rsidR="008B28D4">
              <w:rPr>
                <w:sz w:val="18"/>
                <w:szCs w:val="20"/>
              </w:rPr>
              <w:t>ę postępowania przetargowego na </w:t>
            </w:r>
            <w:r w:rsidRPr="008E3488">
              <w:rPr>
                <w:sz w:val="18"/>
                <w:szCs w:val="20"/>
              </w:rPr>
              <w:t xml:space="preserve">wyłonienie wykonawcy Platformy e-Zamówienia został zarządzony w następujący sposób: przekazano w dniu podpisania umowy z Wykonawcą przygotowany przez zespoły MC/UZP dodatkowy obszerny materiał analityczno-techniczny, który miał na celu skrócenie prac po stronie Wykonawcy i odrobienie straconego czasu w ramach przedłużającego się postępowania; wprowadzono formułę cyklicznych warsztatów analityczno-technicznych z Wykonawcą w celu bieżącej pracy i wsparcia Wykonawcy przez zespoły MC/UZP oraz weryfikacji jakości wytwarzanych produktów. </w:t>
            </w:r>
          </w:p>
          <w:p w14:paraId="1592CF3B" w14:textId="0A27158C" w:rsidR="00F00B67" w:rsidRPr="008E3488" w:rsidRDefault="00F00B67" w:rsidP="008B28D4">
            <w:pPr>
              <w:rPr>
                <w:sz w:val="18"/>
                <w:szCs w:val="20"/>
              </w:rPr>
            </w:pPr>
            <w:r w:rsidRPr="008E3488">
              <w:rPr>
                <w:sz w:val="18"/>
                <w:szCs w:val="20"/>
              </w:rPr>
              <w:t>2. Problem, dotyczący przesunięcia terminu zrealizowanego już Kamienia milowego nr 1 Wypracowanie standardu usług i danych. Opóźnienie realizacji terminu wynikało z niewystarczającej jakości przekazanego do odbioru w wymaganym terminie Kamienia milowego oraz konieczności dalszej pracy nad dostarczeniem produktu spełniającego kryteria akceptacji. Dzięki zastosowaniu podejścia iteracyjnego i wypracowywania produktu w częściach osiągnięto bardzo dobre efekty, które są szczególnie ważne, gdyż odbiorcami pr</w:t>
            </w:r>
            <w:r w:rsidR="00456E5C">
              <w:rPr>
                <w:sz w:val="18"/>
                <w:szCs w:val="20"/>
              </w:rPr>
              <w:t>oduktu byli</w:t>
            </w:r>
            <w:r w:rsidR="008E3488">
              <w:rPr>
                <w:sz w:val="18"/>
                <w:szCs w:val="20"/>
              </w:rPr>
              <w:t xml:space="preserve"> dostawcy zewnętrznych</w:t>
            </w:r>
            <w:r w:rsidRPr="008E3488">
              <w:rPr>
                <w:sz w:val="18"/>
                <w:szCs w:val="20"/>
              </w:rPr>
              <w:t xml:space="preserve"> Portali e-Usług. </w:t>
            </w:r>
          </w:p>
          <w:p w14:paraId="3C24C88D" w14:textId="5746583B" w:rsidR="00AD279E" w:rsidRPr="008E3488" w:rsidRDefault="00F00B67" w:rsidP="008B28D4">
            <w:pPr>
              <w:rPr>
                <w:sz w:val="18"/>
                <w:szCs w:val="20"/>
              </w:rPr>
            </w:pPr>
            <w:r w:rsidRPr="008E3488">
              <w:rPr>
                <w:sz w:val="18"/>
                <w:szCs w:val="20"/>
              </w:rPr>
              <w:t xml:space="preserve">3. Problem niedotrzymania Kamienia milowego nr 2 Implementacja modułów CRD, BZP i przyjmowania i zabezpieczenia ofert, związane z opóźnionym wejściem w życie Ustawy z dnia 5 lipca 2018 r. o zmianie ustawy o usługach zaufania oraz identyfikacji elektronicznej oraz niektórych innych ustaw (Dz. U. poz. 1544) zostało zmitygowane. Dostawca opracował podejście do realizacji najbliższych Kamieni milowych </w:t>
            </w:r>
            <w:r w:rsidR="008B28D4">
              <w:rPr>
                <w:sz w:val="18"/>
                <w:szCs w:val="20"/>
              </w:rPr>
              <w:t>w sposób iteracyjny, bazując na </w:t>
            </w:r>
            <w:r w:rsidRPr="008E3488">
              <w:rPr>
                <w:sz w:val="18"/>
                <w:szCs w:val="20"/>
              </w:rPr>
              <w:t xml:space="preserve">pozytywnych doświadczeniach dot. prac nad Kamieniem milowym nr 1 i uzyskania wysokiej </w:t>
            </w:r>
            <w:r w:rsidRPr="008E3488">
              <w:rPr>
                <w:sz w:val="18"/>
                <w:szCs w:val="20"/>
              </w:rPr>
              <w:lastRenderedPageBreak/>
              <w:t>jakości produktu. Podejście to zostało przekazane do CPPC i otrzymało pozytywną rekomendację. W wyniku tego 18.09.2018 podpisan</w:t>
            </w:r>
            <w:r w:rsidR="008B28D4">
              <w:rPr>
                <w:sz w:val="18"/>
                <w:szCs w:val="20"/>
              </w:rPr>
              <w:t>o aneks z Wykonawcą Platformy e</w:t>
            </w:r>
            <w:r w:rsidR="008B28D4">
              <w:rPr>
                <w:sz w:val="18"/>
                <w:szCs w:val="20"/>
              </w:rPr>
              <w:noBreakHyphen/>
            </w:r>
            <w:r w:rsidRPr="008E3488">
              <w:rPr>
                <w:sz w:val="18"/>
                <w:szCs w:val="20"/>
              </w:rPr>
              <w:t xml:space="preserve">Zamówienia. Aneks z CPPC podpisany 21.01.2019 r. </w:t>
            </w:r>
          </w:p>
          <w:p w14:paraId="6A2E92F3" w14:textId="032AD58C" w:rsidR="00F00B67" w:rsidRPr="008E3488" w:rsidRDefault="00F00B67" w:rsidP="008B28D4">
            <w:pPr>
              <w:rPr>
                <w:sz w:val="18"/>
                <w:szCs w:val="20"/>
              </w:rPr>
            </w:pPr>
            <w:r w:rsidRPr="008E3488">
              <w:rPr>
                <w:sz w:val="18"/>
                <w:szCs w:val="20"/>
              </w:rPr>
              <w:t xml:space="preserve">4. </w:t>
            </w:r>
            <w:r w:rsidR="00AD279E" w:rsidRPr="008E3488">
              <w:rPr>
                <w:sz w:val="18"/>
                <w:szCs w:val="20"/>
              </w:rPr>
              <w:t>P</w:t>
            </w:r>
            <w:r w:rsidRPr="008E3488">
              <w:rPr>
                <w:sz w:val="18"/>
                <w:szCs w:val="20"/>
              </w:rPr>
              <w:t>roblem niedotrzymania planowanej daty zakończenia (31.12.2018) oraz daty krytycznego punktu (18.01.2019) dostarczenia Kamienia milowego nr 2 (Ka</w:t>
            </w:r>
            <w:r w:rsidR="008B28D4">
              <w:rPr>
                <w:sz w:val="18"/>
                <w:szCs w:val="20"/>
              </w:rPr>
              <w:t>mienie milowe już po zmianie na </w:t>
            </w:r>
            <w:r w:rsidRPr="008E3488">
              <w:rPr>
                <w:sz w:val="18"/>
                <w:szCs w:val="20"/>
              </w:rPr>
              <w:t>podstawie Aneksu). Zmaterializowało się ryzyko ni</w:t>
            </w:r>
            <w:r w:rsidR="008B28D4">
              <w:rPr>
                <w:sz w:val="18"/>
                <w:szCs w:val="20"/>
              </w:rPr>
              <w:t>edostarczenia przez Wykonawcę w </w:t>
            </w:r>
            <w:r w:rsidRPr="008E3488">
              <w:rPr>
                <w:sz w:val="18"/>
                <w:szCs w:val="20"/>
              </w:rPr>
              <w:t xml:space="preserve">wymaganym czasie i jakości oprogramowania do testów </w:t>
            </w:r>
            <w:r w:rsidR="008B28D4">
              <w:rPr>
                <w:sz w:val="18"/>
                <w:szCs w:val="20"/>
              </w:rPr>
              <w:t>akceptacyjnych. W odpowiedzi na </w:t>
            </w:r>
            <w:r w:rsidRPr="008E3488">
              <w:rPr>
                <w:sz w:val="18"/>
                <w:szCs w:val="20"/>
              </w:rPr>
              <w:t>zaistniały problem wdrożono plan nadzwyczajny, wstępnie zaakceptowany przez Komitet Sterujący. Zgodnie z ww. planem nadzwyczajnym zakłada</w:t>
            </w:r>
            <w:r w:rsidR="00456E5C">
              <w:rPr>
                <w:sz w:val="18"/>
                <w:szCs w:val="20"/>
              </w:rPr>
              <w:t>no</w:t>
            </w:r>
            <w:r w:rsidRPr="008E3488">
              <w:rPr>
                <w:sz w:val="18"/>
                <w:szCs w:val="20"/>
              </w:rPr>
              <w:t xml:space="preserve"> odbiór i wdrożenie Wydania 1</w:t>
            </w:r>
            <w:r w:rsidR="008B28D4">
              <w:rPr>
                <w:sz w:val="18"/>
                <w:szCs w:val="20"/>
              </w:rPr>
              <w:t xml:space="preserve"> w </w:t>
            </w:r>
            <w:r w:rsidR="008E3488">
              <w:rPr>
                <w:sz w:val="18"/>
                <w:szCs w:val="20"/>
              </w:rPr>
              <w:t>terminie nie przekraczającym</w:t>
            </w:r>
            <w:r w:rsidRPr="008E3488">
              <w:rPr>
                <w:sz w:val="18"/>
                <w:szCs w:val="20"/>
              </w:rPr>
              <w:t xml:space="preserve"> punktu ostateczneg</w:t>
            </w:r>
            <w:r w:rsidR="008B28D4">
              <w:rPr>
                <w:sz w:val="18"/>
                <w:szCs w:val="20"/>
              </w:rPr>
              <w:t>o (15.02.2019) przewidzianego w </w:t>
            </w:r>
            <w:r w:rsidRPr="008E3488">
              <w:rPr>
                <w:sz w:val="18"/>
                <w:szCs w:val="20"/>
              </w:rPr>
              <w:t>harmonogramie dla realizacji Kamienia Miloweg</w:t>
            </w:r>
            <w:r w:rsidR="00456E5C">
              <w:rPr>
                <w:sz w:val="18"/>
                <w:szCs w:val="20"/>
              </w:rPr>
              <w:t>o nr 2 projektu. Prowadzony był</w:t>
            </w:r>
            <w:r w:rsidRPr="008E3488">
              <w:rPr>
                <w:sz w:val="18"/>
                <w:szCs w:val="20"/>
              </w:rPr>
              <w:t xml:space="preserve"> również stały nadzór Komitetu Sterującego, gdzie po</w:t>
            </w:r>
            <w:r w:rsidR="00AD279E" w:rsidRPr="008E3488">
              <w:rPr>
                <w:sz w:val="18"/>
                <w:szCs w:val="20"/>
              </w:rPr>
              <w:t>siedzenia odbywały</w:t>
            </w:r>
            <w:r w:rsidRPr="008E3488">
              <w:rPr>
                <w:sz w:val="18"/>
                <w:szCs w:val="20"/>
              </w:rPr>
              <w:t xml:space="preserve"> się w ostępach tygodniowych. Zamawiający wprowadził również weryfikacje postępu prac poprzez codzienne poranne spotkania (od</w:t>
            </w:r>
            <w:r w:rsidR="00AD279E" w:rsidRPr="008E3488">
              <w:rPr>
                <w:sz w:val="18"/>
                <w:szCs w:val="20"/>
              </w:rPr>
              <w:t>prawy), na których uzgadniane były</w:t>
            </w:r>
            <w:r w:rsidRPr="008E3488">
              <w:rPr>
                <w:sz w:val="18"/>
                <w:szCs w:val="20"/>
              </w:rPr>
              <w:t xml:space="preserve"> dzienne plany r</w:t>
            </w:r>
            <w:r w:rsidR="00AD279E" w:rsidRPr="008E3488">
              <w:rPr>
                <w:sz w:val="18"/>
                <w:szCs w:val="20"/>
              </w:rPr>
              <w:t>ealizacji oraz kontrolowany był</w:t>
            </w:r>
            <w:r w:rsidRPr="008E3488">
              <w:rPr>
                <w:sz w:val="18"/>
                <w:szCs w:val="20"/>
              </w:rPr>
              <w:t xml:space="preserve"> postęp prac przez Kierownika Projektu. Dodatkowo Zamawiający uczestniczy</w:t>
            </w:r>
            <w:r w:rsidR="00AD279E" w:rsidRPr="008E3488">
              <w:rPr>
                <w:sz w:val="18"/>
                <w:szCs w:val="20"/>
              </w:rPr>
              <w:t>ł</w:t>
            </w:r>
            <w:r w:rsidRPr="008E3488">
              <w:rPr>
                <w:sz w:val="18"/>
                <w:szCs w:val="20"/>
              </w:rPr>
              <w:t xml:space="preserve"> w wa</w:t>
            </w:r>
            <w:r w:rsidR="00AD279E" w:rsidRPr="008E3488">
              <w:rPr>
                <w:sz w:val="18"/>
                <w:szCs w:val="20"/>
              </w:rPr>
              <w:t>rsztatach, gdzie weryfikowane były</w:t>
            </w:r>
            <w:r w:rsidRPr="008E3488">
              <w:rPr>
                <w:sz w:val="18"/>
                <w:szCs w:val="20"/>
              </w:rPr>
              <w:t xml:space="preserve"> i analizowane postępy prac nad </w:t>
            </w:r>
            <w:r w:rsidR="00AD279E" w:rsidRPr="008E3488">
              <w:rPr>
                <w:sz w:val="18"/>
                <w:szCs w:val="20"/>
              </w:rPr>
              <w:t>oprogramowaniem oraz omawiane były</w:t>
            </w:r>
            <w:r w:rsidRPr="008E3488">
              <w:rPr>
                <w:sz w:val="18"/>
                <w:szCs w:val="20"/>
              </w:rPr>
              <w:t xml:space="preserve"> kluczowe i krytyczne zgłoszenia błędów. Dodatkowo każdego dnia Zamawiający przedstawia</w:t>
            </w:r>
            <w:r w:rsidR="00AD279E" w:rsidRPr="008E3488">
              <w:rPr>
                <w:sz w:val="18"/>
                <w:szCs w:val="20"/>
              </w:rPr>
              <w:t>ł</w:t>
            </w:r>
            <w:r w:rsidRPr="008E3488">
              <w:rPr>
                <w:sz w:val="18"/>
                <w:szCs w:val="20"/>
              </w:rPr>
              <w:t xml:space="preserve"> do Komitetu Sterującego raport z testów akceptacyjnych.</w:t>
            </w:r>
          </w:p>
          <w:p w14:paraId="2DFF3D23" w14:textId="44245AC3" w:rsidR="00456E5C" w:rsidRDefault="00AD279E" w:rsidP="008B28D4">
            <w:pPr>
              <w:rPr>
                <w:sz w:val="18"/>
                <w:szCs w:val="20"/>
              </w:rPr>
            </w:pPr>
            <w:r w:rsidRPr="008E3488">
              <w:rPr>
                <w:sz w:val="18"/>
                <w:szCs w:val="20"/>
              </w:rPr>
              <w:t xml:space="preserve">Mimo podjętych działań Wykonawca nie był w stanie dotrzymać daty krytycznego punktu dostarczenia Kamienia milowego nr 2 w związku z tym </w:t>
            </w:r>
            <w:r w:rsidR="008B1973" w:rsidRPr="008E3488">
              <w:rPr>
                <w:sz w:val="18"/>
                <w:szCs w:val="20"/>
              </w:rPr>
              <w:t xml:space="preserve">Minister </w:t>
            </w:r>
            <w:r w:rsidR="008E3488">
              <w:rPr>
                <w:sz w:val="18"/>
                <w:szCs w:val="20"/>
              </w:rPr>
              <w:t>Cyfryzacji w dniu 11 marca 2019</w:t>
            </w:r>
            <w:r w:rsidR="008B1973" w:rsidRPr="008E3488">
              <w:rPr>
                <w:sz w:val="18"/>
                <w:szCs w:val="20"/>
              </w:rPr>
              <w:t>r., w uzgodnieniu z Prezesem Urzędu Zamówień P</w:t>
            </w:r>
            <w:r w:rsidR="008B28D4">
              <w:rPr>
                <w:sz w:val="18"/>
                <w:szCs w:val="20"/>
              </w:rPr>
              <w:t>ublicznych i po konsultacjach z </w:t>
            </w:r>
            <w:r w:rsidR="008B1973" w:rsidRPr="008E3488">
              <w:rPr>
                <w:sz w:val="18"/>
                <w:szCs w:val="20"/>
              </w:rPr>
              <w:t xml:space="preserve">Prokuratorią Generalną RP odstąpił w całości od Umowy nr 11/Enterprise Services/MC/PN/17 zawartej 6 kwietnia 2018 r.  z Wykonawcą, firmą DXC TECHNOLOGY Polska Sp. z o.o. z uwagi </w:t>
            </w:r>
            <w:r w:rsidR="008B28D4">
              <w:rPr>
                <w:sz w:val="18"/>
                <w:szCs w:val="20"/>
              </w:rPr>
              <w:t>na </w:t>
            </w:r>
            <w:r w:rsidR="008B1973" w:rsidRPr="008E3488">
              <w:rPr>
                <w:sz w:val="18"/>
                <w:szCs w:val="20"/>
              </w:rPr>
              <w:t>zwłokę Wykonawcy w przedstawieniu do odbioru należycie wykonanego Kamienia Milowego nr</w:t>
            </w:r>
            <w:r w:rsidR="008B28D4">
              <w:rPr>
                <w:sz w:val="18"/>
                <w:szCs w:val="20"/>
              </w:rPr>
              <w:t> </w:t>
            </w:r>
            <w:r w:rsidR="008B1973" w:rsidRPr="008E3488">
              <w:rPr>
                <w:sz w:val="18"/>
                <w:szCs w:val="20"/>
              </w:rPr>
              <w:t xml:space="preserve">2 pn. "Wdrożenie modułów i komponentów: BZP, e-Sender, Manager Tożsamości, CRD w zakresie wdrażanych modułów". </w:t>
            </w:r>
          </w:p>
          <w:p w14:paraId="17C86A4B" w14:textId="33D937BD" w:rsidR="00EC4E57" w:rsidRPr="00070257" w:rsidRDefault="008B1973" w:rsidP="008B28D4">
            <w:pPr>
              <w:rPr>
                <w:i/>
                <w:color w:val="FF0000"/>
                <w:sz w:val="18"/>
                <w:szCs w:val="20"/>
              </w:rPr>
            </w:pPr>
            <w:r w:rsidRPr="008E3488">
              <w:rPr>
                <w:sz w:val="18"/>
                <w:szCs w:val="20"/>
              </w:rPr>
              <w:t>W konsekwencji projekt został zamknięty decyzją Rady Portfela w dniu 21 października 2019r.</w:t>
            </w:r>
          </w:p>
        </w:tc>
      </w:tr>
      <w:tr w:rsidR="00813FEF" w:rsidRPr="002450C4" w14:paraId="07C05B9B" w14:textId="77777777" w:rsidTr="006A7EBF">
        <w:tc>
          <w:tcPr>
            <w:tcW w:w="376" w:type="dxa"/>
          </w:tcPr>
          <w:p w14:paraId="39938F52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6CEDFE80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7229" w:type="dxa"/>
          </w:tcPr>
          <w:p w14:paraId="7C757AE0" w14:textId="09A13A31" w:rsidR="00456E5C" w:rsidRDefault="005264F0" w:rsidP="008B28D4">
            <w:pPr>
              <w:rPr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Wymierną korzyścią wynikająca z zakończenia projektu jest fakt, że n</w:t>
            </w:r>
            <w:r>
              <w:rPr>
                <w:sz w:val="18"/>
                <w:szCs w:val="20"/>
              </w:rPr>
              <w:t>owy p</w:t>
            </w:r>
            <w:r w:rsidRPr="00940DE7">
              <w:rPr>
                <w:sz w:val="18"/>
                <w:szCs w:val="20"/>
              </w:rPr>
              <w:t>rojekt swoim zakresem uwzględnia większość planowanych funkcjonalności Platformy e-Zamówienia, określo</w:t>
            </w:r>
            <w:r w:rsidR="00456E5C">
              <w:rPr>
                <w:sz w:val="18"/>
                <w:szCs w:val="20"/>
              </w:rPr>
              <w:t>nych w projekcie poprzednim</w:t>
            </w:r>
            <w:r w:rsidRPr="005264F0">
              <w:rPr>
                <w:sz w:val="18"/>
                <w:szCs w:val="20"/>
              </w:rPr>
              <w:t xml:space="preserve"> i </w:t>
            </w:r>
            <w:r w:rsidRPr="00940DE7">
              <w:rPr>
                <w:sz w:val="18"/>
                <w:szCs w:val="20"/>
              </w:rPr>
              <w:t>wykorzystuje prace analityczne, wypracowane podejścia i</w:t>
            </w:r>
            <w:r w:rsidR="008B28D4">
              <w:rPr>
                <w:sz w:val="18"/>
                <w:szCs w:val="20"/>
              </w:rPr>
              <w:t> </w:t>
            </w:r>
            <w:r w:rsidRPr="00940DE7">
              <w:rPr>
                <w:sz w:val="18"/>
                <w:szCs w:val="20"/>
              </w:rPr>
              <w:t>rozwiązania, w tym odebraną dokumentację analityczno</w:t>
            </w:r>
            <w:r w:rsidR="00456E5C">
              <w:rPr>
                <w:sz w:val="18"/>
                <w:szCs w:val="20"/>
              </w:rPr>
              <w:t>-</w:t>
            </w:r>
            <w:r w:rsidRPr="00940DE7">
              <w:rPr>
                <w:sz w:val="18"/>
                <w:szCs w:val="20"/>
              </w:rPr>
              <w:t xml:space="preserve">techniczną, wykonane </w:t>
            </w:r>
            <w:r>
              <w:rPr>
                <w:sz w:val="18"/>
                <w:szCs w:val="20"/>
              </w:rPr>
              <w:t>w ramach zamkniętego projektu</w:t>
            </w:r>
            <w:r w:rsidRPr="00940DE7">
              <w:rPr>
                <w:sz w:val="18"/>
                <w:szCs w:val="20"/>
              </w:rPr>
              <w:t xml:space="preserve">. </w:t>
            </w:r>
          </w:p>
          <w:p w14:paraId="6E247599" w14:textId="41F7E347" w:rsidR="00664E4F" w:rsidRPr="00456E5C" w:rsidRDefault="005264F0" w:rsidP="00664E4F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sz w:val="18"/>
                <w:szCs w:val="20"/>
              </w:rPr>
              <w:t>Odebrane w projekcie produkty stanowią wkład do projektu w no</w:t>
            </w:r>
            <w:r w:rsidR="00BF1F92">
              <w:rPr>
                <w:sz w:val="18"/>
                <w:szCs w:val="20"/>
              </w:rPr>
              <w:t>w</w:t>
            </w:r>
            <w:r>
              <w:rPr>
                <w:sz w:val="18"/>
                <w:szCs w:val="20"/>
              </w:rPr>
              <w:t>ej formule.</w:t>
            </w:r>
          </w:p>
        </w:tc>
      </w:tr>
      <w:tr w:rsidR="00F82254" w:rsidRPr="002450C4" w14:paraId="6D12CD78" w14:textId="77777777" w:rsidTr="006A7EBF">
        <w:tc>
          <w:tcPr>
            <w:tcW w:w="376" w:type="dxa"/>
          </w:tcPr>
          <w:p w14:paraId="798707DF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4C45E98D" w14:textId="147F9661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</w:t>
            </w:r>
            <w:r w:rsidR="008B28D4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7229" w:type="dxa"/>
          </w:tcPr>
          <w:p w14:paraId="5DD6F707" w14:textId="77777777" w:rsidR="00456E5C" w:rsidRDefault="00456E5C" w:rsidP="00E33C93">
            <w:pPr>
              <w:jc w:val="both"/>
              <w:rPr>
                <w:bCs/>
                <w:sz w:val="18"/>
                <w:szCs w:val="20"/>
              </w:rPr>
            </w:pPr>
          </w:p>
          <w:p w14:paraId="3C4CE5A5" w14:textId="77777777" w:rsidR="008249F5" w:rsidRPr="008E3488" w:rsidRDefault="008249F5" w:rsidP="008B28D4">
            <w:pPr>
              <w:rPr>
                <w:bCs/>
                <w:sz w:val="18"/>
                <w:szCs w:val="20"/>
              </w:rPr>
            </w:pPr>
            <w:r w:rsidRPr="008E3488">
              <w:rPr>
                <w:bCs/>
                <w:sz w:val="18"/>
                <w:szCs w:val="20"/>
              </w:rPr>
              <w:t xml:space="preserve">Ze względu na podjęcie decyzji o braku kontynuacji Projektu planowany do wytworzenia system informatyczny nie </w:t>
            </w:r>
            <w:r w:rsidR="00E33C93">
              <w:rPr>
                <w:bCs/>
                <w:sz w:val="18"/>
                <w:szCs w:val="20"/>
              </w:rPr>
              <w:t>został zintegrowany</w:t>
            </w:r>
            <w:r w:rsidRPr="008E3488">
              <w:rPr>
                <w:bCs/>
                <w:sz w:val="18"/>
                <w:szCs w:val="20"/>
              </w:rPr>
              <w:t xml:space="preserve"> z żadnymi e-usługami ani rejestrami z innych systemów administracji publicznej.</w:t>
            </w:r>
          </w:p>
        </w:tc>
      </w:tr>
      <w:tr w:rsidR="007C54F9" w:rsidRPr="002450C4" w14:paraId="171AEAC8" w14:textId="77777777" w:rsidTr="006A7EBF">
        <w:tc>
          <w:tcPr>
            <w:tcW w:w="376" w:type="dxa"/>
          </w:tcPr>
          <w:p w14:paraId="05616F55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05F8B160" w14:textId="3632A9DF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</w:t>
            </w:r>
            <w:r w:rsidR="008B28D4">
              <w:rPr>
                <w:sz w:val="18"/>
                <w:szCs w:val="20"/>
              </w:rPr>
              <w:t>ewnienie utrzymania projektu (w </w:t>
            </w:r>
            <w:r>
              <w:rPr>
                <w:sz w:val="18"/>
                <w:szCs w:val="20"/>
              </w:rPr>
              <w:t>okresie trwałości)</w:t>
            </w:r>
          </w:p>
        </w:tc>
        <w:tc>
          <w:tcPr>
            <w:tcW w:w="7229" w:type="dxa"/>
          </w:tcPr>
          <w:p w14:paraId="5441D890" w14:textId="77777777" w:rsidR="00EE3C31" w:rsidRDefault="00EE3C31" w:rsidP="007C54F9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7D1DF3B6" w14:textId="77777777" w:rsidR="00EE3C31" w:rsidRPr="00E33C93" w:rsidRDefault="00EE3C31" w:rsidP="008B28D4">
            <w:pPr>
              <w:rPr>
                <w:bCs/>
                <w:sz w:val="18"/>
                <w:szCs w:val="20"/>
              </w:rPr>
            </w:pPr>
            <w:r w:rsidRPr="00E33C93">
              <w:rPr>
                <w:bCs/>
                <w:sz w:val="18"/>
                <w:szCs w:val="20"/>
              </w:rPr>
              <w:t>Ze względu na podjęcie decyzji o braku kontynuacji Projektu nie istnieje konieczność zapewnienia środków na utrzymanie produktów/rezultatów projektu po jego zakończeniu ani sposobu zabezpieczenia środków na utrzymanie projektu w okresie trwałości.</w:t>
            </w:r>
          </w:p>
          <w:p w14:paraId="011B8070" w14:textId="77777777" w:rsidR="00EE3C31" w:rsidRDefault="00EE3C31" w:rsidP="007C54F9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9D3D41" w:rsidRPr="002450C4" w14:paraId="35EAB155" w14:textId="77777777" w:rsidTr="006A7EBF">
        <w:tc>
          <w:tcPr>
            <w:tcW w:w="376" w:type="dxa"/>
          </w:tcPr>
          <w:p w14:paraId="7EADC6EE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62" w:type="dxa"/>
          </w:tcPr>
          <w:p w14:paraId="6BB5A0B7" w14:textId="65BF54EF" w:rsidR="009D3D41" w:rsidRDefault="008B28D4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 </w:t>
            </w:r>
            <w:r w:rsidR="009D3D41">
              <w:rPr>
                <w:sz w:val="18"/>
                <w:szCs w:val="20"/>
              </w:rPr>
              <w:t>realizacją projektu</w:t>
            </w:r>
          </w:p>
        </w:tc>
        <w:tc>
          <w:tcPr>
            <w:tcW w:w="7229" w:type="dxa"/>
          </w:tcPr>
          <w:p w14:paraId="008AB37B" w14:textId="77777777" w:rsidR="00883878" w:rsidRDefault="00883878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6414336C" w14:textId="77777777" w:rsidR="003F754B" w:rsidRPr="00E33C93" w:rsidRDefault="003F754B" w:rsidP="009D3D41">
            <w:pPr>
              <w:jc w:val="both"/>
              <w:rPr>
                <w:b/>
                <w:sz w:val="18"/>
                <w:szCs w:val="20"/>
              </w:rPr>
            </w:pPr>
            <w:r w:rsidRPr="00E33C93">
              <w:rPr>
                <w:b/>
                <w:sz w:val="18"/>
                <w:szCs w:val="20"/>
              </w:rPr>
              <w:t>Najważniejsze doświadczenia związane z real</w:t>
            </w:r>
            <w:r w:rsidR="008539F1" w:rsidRPr="00E33C93">
              <w:rPr>
                <w:b/>
                <w:sz w:val="18"/>
                <w:szCs w:val="20"/>
              </w:rPr>
              <w:t>izacją i zarządzaniem projektem</w:t>
            </w:r>
          </w:p>
          <w:p w14:paraId="7605A9D9" w14:textId="77777777" w:rsidR="00E33C93" w:rsidRPr="00E33C93" w:rsidRDefault="00E33C93" w:rsidP="009D3D41">
            <w:pPr>
              <w:jc w:val="both"/>
              <w:rPr>
                <w:sz w:val="18"/>
                <w:szCs w:val="20"/>
              </w:rPr>
            </w:pPr>
          </w:p>
          <w:p w14:paraId="5251D98D" w14:textId="77777777" w:rsidR="008539F1" w:rsidRPr="00E33C93" w:rsidRDefault="008539F1" w:rsidP="008539F1">
            <w:pPr>
              <w:jc w:val="both"/>
              <w:rPr>
                <w:b/>
                <w:sz w:val="18"/>
                <w:szCs w:val="20"/>
              </w:rPr>
            </w:pPr>
            <w:r w:rsidRPr="00E33C93">
              <w:rPr>
                <w:b/>
                <w:sz w:val="18"/>
                <w:szCs w:val="20"/>
              </w:rPr>
              <w:t xml:space="preserve">REKOMENDACJA KONTYNUACJI DOBRYCH PRAKTYK (CO ZROBILIŚMY DOBRZE) </w:t>
            </w:r>
          </w:p>
          <w:p w14:paraId="2913C978" w14:textId="77777777" w:rsidR="00E33C93" w:rsidRDefault="008539F1" w:rsidP="008539F1">
            <w:pPr>
              <w:jc w:val="both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Należy kontynuować </w:t>
            </w:r>
          </w:p>
          <w:p w14:paraId="7724D2DD" w14:textId="7948838D" w:rsidR="008539F1" w:rsidRPr="00E33C93" w:rsidRDefault="008539F1" w:rsidP="008B28D4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wypracowany model pracy warsztatowej zar</w:t>
            </w:r>
            <w:r w:rsidR="00F611EC" w:rsidRPr="00E33C93">
              <w:rPr>
                <w:sz w:val="18"/>
                <w:szCs w:val="20"/>
              </w:rPr>
              <w:t>ówno wewnętrznie w zespole</w:t>
            </w:r>
            <w:r w:rsidR="008B28D4">
              <w:rPr>
                <w:sz w:val="18"/>
                <w:szCs w:val="20"/>
              </w:rPr>
              <w:t xml:space="preserve"> jak i </w:t>
            </w:r>
            <w:r w:rsidRPr="00E33C93">
              <w:rPr>
                <w:sz w:val="18"/>
                <w:szCs w:val="20"/>
              </w:rPr>
              <w:t>zewnętrznie z dostawcą. Osiągnięty w zespole poziom dojrzałości tej metody zapewnia efektywną wymianę informacji od stron</w:t>
            </w:r>
            <w:r w:rsidR="008B28D4">
              <w:rPr>
                <w:sz w:val="18"/>
                <w:szCs w:val="20"/>
              </w:rPr>
              <w:t>y merytorycznej i zarządczej;</w:t>
            </w:r>
          </w:p>
          <w:p w14:paraId="5ABA530F" w14:textId="058810F0" w:rsidR="008539F1" w:rsidRPr="00E33C93" w:rsidRDefault="00E33C93" w:rsidP="008B28D4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uwzględnienie</w:t>
            </w:r>
            <w:r w:rsidR="008539F1" w:rsidRPr="00E33C93">
              <w:rPr>
                <w:sz w:val="18"/>
                <w:szCs w:val="20"/>
              </w:rPr>
              <w:t xml:space="preserve"> rekomendacji stworzonych przez zespół operacyjny w trakcie podejmowania decyzji projektowy</w:t>
            </w:r>
            <w:r w:rsidR="008B28D4">
              <w:rPr>
                <w:sz w:val="18"/>
                <w:szCs w:val="20"/>
              </w:rPr>
              <w:t>ch przez Kierownictwo projektu;</w:t>
            </w:r>
          </w:p>
          <w:p w14:paraId="39113A25" w14:textId="6F72ABE9" w:rsidR="008539F1" w:rsidRPr="00E33C93" w:rsidRDefault="00E33C93" w:rsidP="008B28D4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systematyczną weryfikację</w:t>
            </w:r>
            <w:r w:rsidR="008539F1" w:rsidRPr="00E33C93">
              <w:rPr>
                <w:sz w:val="18"/>
                <w:szCs w:val="20"/>
              </w:rPr>
              <w:t xml:space="preserve"> jakości produktów </w:t>
            </w:r>
            <w:r w:rsidR="00F611EC" w:rsidRPr="00E33C93">
              <w:rPr>
                <w:sz w:val="18"/>
                <w:szCs w:val="20"/>
              </w:rPr>
              <w:t>dostarczanych przez W</w:t>
            </w:r>
            <w:r w:rsidR="008B28D4">
              <w:rPr>
                <w:sz w:val="18"/>
                <w:szCs w:val="20"/>
              </w:rPr>
              <w:t>ykonawcę;</w:t>
            </w:r>
          </w:p>
          <w:p w14:paraId="64F07328" w14:textId="1D3A0A99" w:rsidR="008539F1" w:rsidRPr="00E33C93" w:rsidRDefault="00E33C93" w:rsidP="008B28D4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bieżący</w:t>
            </w:r>
            <w:r w:rsidR="008539F1" w:rsidRPr="00E33C93">
              <w:rPr>
                <w:sz w:val="18"/>
                <w:szCs w:val="20"/>
              </w:rPr>
              <w:t xml:space="preserve"> n</w:t>
            </w:r>
            <w:r w:rsidRPr="00E33C93">
              <w:rPr>
                <w:sz w:val="18"/>
                <w:szCs w:val="20"/>
              </w:rPr>
              <w:t>adzór merytoryczny realizowany</w:t>
            </w:r>
            <w:r w:rsidR="008539F1" w:rsidRPr="00E33C93">
              <w:rPr>
                <w:sz w:val="18"/>
                <w:szCs w:val="20"/>
              </w:rPr>
              <w:t xml:space="preserve"> przez zespół ekspercki nad kierunkiem pracy realizacyjnych Wykonawcy</w:t>
            </w:r>
            <w:r w:rsidR="008B28D4">
              <w:rPr>
                <w:sz w:val="18"/>
                <w:szCs w:val="20"/>
              </w:rPr>
              <w:t>.</w:t>
            </w:r>
          </w:p>
          <w:p w14:paraId="777EBDF0" w14:textId="77777777" w:rsidR="00F611EC" w:rsidRPr="00E33C93" w:rsidRDefault="00F611EC" w:rsidP="008539F1">
            <w:pPr>
              <w:jc w:val="both"/>
              <w:rPr>
                <w:sz w:val="18"/>
                <w:szCs w:val="20"/>
              </w:rPr>
            </w:pPr>
          </w:p>
          <w:p w14:paraId="54499C6B" w14:textId="77777777" w:rsidR="008539F1" w:rsidRPr="00456E5C" w:rsidRDefault="008539F1" w:rsidP="008539F1">
            <w:pPr>
              <w:jc w:val="both"/>
              <w:rPr>
                <w:b/>
                <w:sz w:val="18"/>
                <w:szCs w:val="20"/>
              </w:rPr>
            </w:pPr>
            <w:r w:rsidRPr="00456E5C">
              <w:rPr>
                <w:b/>
                <w:sz w:val="18"/>
                <w:szCs w:val="20"/>
              </w:rPr>
              <w:t xml:space="preserve">REKOMENDACJA ZMIANY PODEJŚCIA (CO MOŻEMY ZROBIĆ LEPIEJ) </w:t>
            </w:r>
          </w:p>
          <w:p w14:paraId="27029502" w14:textId="33718BE5" w:rsidR="008539F1" w:rsidRPr="00E33C93" w:rsidRDefault="008539F1" w:rsidP="008B28D4">
            <w:p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1. Aby zmniejszyć prawdopodobieństwo decyzji Kierownictwa podejmowanych bez konsultacji z</w:t>
            </w:r>
            <w:r w:rsidR="008B28D4">
              <w:rPr>
                <w:sz w:val="18"/>
                <w:szCs w:val="20"/>
              </w:rPr>
              <w:t> </w:t>
            </w:r>
            <w:r w:rsidRPr="00E33C93">
              <w:rPr>
                <w:sz w:val="18"/>
                <w:szCs w:val="20"/>
              </w:rPr>
              <w:t xml:space="preserve">zespołem operacyjnym, należy uczulić Kierownictwo na </w:t>
            </w:r>
            <w:r w:rsidR="008B28D4">
              <w:rPr>
                <w:sz w:val="18"/>
                <w:szCs w:val="20"/>
              </w:rPr>
              <w:t xml:space="preserve">dyskusję i sięganie po opinie </w:t>
            </w:r>
            <w:r w:rsidR="008B28D4">
              <w:rPr>
                <w:sz w:val="18"/>
                <w:szCs w:val="20"/>
              </w:rPr>
              <w:lastRenderedPageBreak/>
              <w:t>i </w:t>
            </w:r>
            <w:r w:rsidRPr="00E33C93">
              <w:rPr>
                <w:sz w:val="18"/>
                <w:szCs w:val="20"/>
              </w:rPr>
              <w:t>rekomendacje operacyjnego Zespołu Projektowego przed podjęcie</w:t>
            </w:r>
            <w:r w:rsidR="00F611EC" w:rsidRPr="00E33C93">
              <w:rPr>
                <w:sz w:val="18"/>
                <w:szCs w:val="20"/>
              </w:rPr>
              <w:t xml:space="preserve">m decyzji, nawet tych pilnych. </w:t>
            </w:r>
          </w:p>
          <w:p w14:paraId="291B22ED" w14:textId="77777777" w:rsidR="008539F1" w:rsidRPr="00E33C93" w:rsidRDefault="008539F1" w:rsidP="008B28D4">
            <w:p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2. Aby zapewnić efektywne docieranie informacji do właściwych adresatów należy: </w:t>
            </w:r>
          </w:p>
          <w:p w14:paraId="1117B697" w14:textId="39FBB4CD" w:rsidR="00F611EC" w:rsidRPr="00E33C93" w:rsidRDefault="008539F1" w:rsidP="008B28D4">
            <w:pPr>
              <w:pStyle w:val="Akapitzlist"/>
              <w:numPr>
                <w:ilvl w:val="0"/>
                <w:numId w:val="7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zapewnić regularne, cykliczne spotkania statusowe zespołu projektowego, na których wymieniana jest informacja o statusie, decyzjach, harmonogramie, zadaniach, ryzykach i</w:t>
            </w:r>
            <w:r w:rsidR="008B28D4">
              <w:rPr>
                <w:sz w:val="18"/>
                <w:szCs w:val="20"/>
              </w:rPr>
              <w:t> </w:t>
            </w:r>
            <w:r w:rsidRPr="00E33C93">
              <w:rPr>
                <w:sz w:val="18"/>
                <w:szCs w:val="20"/>
              </w:rPr>
              <w:t xml:space="preserve">problemach projektowych; </w:t>
            </w:r>
          </w:p>
          <w:p w14:paraId="55C48630" w14:textId="77777777" w:rsidR="00F611EC" w:rsidRPr="00E33C93" w:rsidRDefault="008539F1" w:rsidP="008B28D4">
            <w:pPr>
              <w:pStyle w:val="Akapitzlist"/>
              <w:numPr>
                <w:ilvl w:val="0"/>
                <w:numId w:val="7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w miarę możliwości na część statusów zaprosić kierownictwo projektu; </w:t>
            </w:r>
          </w:p>
          <w:p w14:paraId="6F5CB647" w14:textId="77777777" w:rsidR="00F611EC" w:rsidRPr="00E33C93" w:rsidRDefault="008539F1" w:rsidP="008B28D4">
            <w:pPr>
              <w:pStyle w:val="Akapitzlist"/>
              <w:numPr>
                <w:ilvl w:val="0"/>
                <w:numId w:val="7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zapewnić sprawny przepływ informacji poprzez bieżącą komunikację; </w:t>
            </w:r>
          </w:p>
          <w:p w14:paraId="52C9AFA3" w14:textId="77777777" w:rsidR="008539F1" w:rsidRPr="00E33C93" w:rsidRDefault="008539F1" w:rsidP="008B28D4">
            <w:pPr>
              <w:pStyle w:val="Akapitzlist"/>
              <w:numPr>
                <w:ilvl w:val="0"/>
                <w:numId w:val="7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każdy komunikat kierować do konkretnego adresata, w szczególności przydzielać zadania  konkretnym członkom zespołu projektowego.</w:t>
            </w:r>
          </w:p>
          <w:p w14:paraId="1E63E525" w14:textId="77777777" w:rsidR="008539F1" w:rsidRPr="00E33C93" w:rsidRDefault="008539F1" w:rsidP="008B28D4">
            <w:p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3.  Aby zapewnić właściwe pokrycie kompetencjami członków zespołu projektowego wszystkich niezbędnych ról w projekcie należy dopasować zespół do skali projektu poprzez (już na etapie Inicjacji projektu – w przypadku projektów POPC w Studium Wykonalności): </w:t>
            </w:r>
          </w:p>
          <w:p w14:paraId="795A899D" w14:textId="77777777" w:rsidR="00F611EC" w:rsidRPr="00E33C93" w:rsidRDefault="008539F1" w:rsidP="008B28D4">
            <w:pPr>
              <w:pStyle w:val="Akapitzlist"/>
              <w:numPr>
                <w:ilvl w:val="0"/>
                <w:numId w:val="8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dla ról o dużym obciążeniu godzinowym uwzględnienie pełnego wymiaru pracy w zespole operacyjnym; </w:t>
            </w:r>
          </w:p>
          <w:p w14:paraId="215E4FB0" w14:textId="1BE161C1" w:rsidR="00F611EC" w:rsidRPr="00E33C93" w:rsidRDefault="008539F1" w:rsidP="008B28D4">
            <w:pPr>
              <w:pStyle w:val="Akapitzlist"/>
              <w:numPr>
                <w:ilvl w:val="0"/>
                <w:numId w:val="8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dla ról o małym obciążeniu godzinowym zaangażowanie ekspertów z innych projektów w</w:t>
            </w:r>
            <w:r w:rsidR="008B28D4">
              <w:rPr>
                <w:sz w:val="18"/>
                <w:szCs w:val="20"/>
              </w:rPr>
              <w:t> </w:t>
            </w:r>
            <w:r w:rsidRPr="00E33C93">
              <w:rPr>
                <w:sz w:val="18"/>
                <w:szCs w:val="20"/>
              </w:rPr>
              <w:t xml:space="preserve">formule „part-time”; </w:t>
            </w:r>
          </w:p>
          <w:p w14:paraId="3A23CBF5" w14:textId="77777777" w:rsidR="008539F1" w:rsidRPr="00E33C93" w:rsidRDefault="008539F1" w:rsidP="008B28D4">
            <w:pPr>
              <w:pStyle w:val="Akapitzlist"/>
              <w:numPr>
                <w:ilvl w:val="0"/>
                <w:numId w:val="8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w roli Biura Projektów zaangażowanie pracownika MC, posiadającego dostęp do systemu EZD oraz orientację w strukturze organizacyjnej oraz podziale odpowiedzialności między jednostkami MC. </w:t>
            </w:r>
          </w:p>
          <w:p w14:paraId="0A54589D" w14:textId="77777777" w:rsidR="008539F1" w:rsidRPr="00E33C93" w:rsidRDefault="008539F1" w:rsidP="008B28D4">
            <w:p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4. Aby efektywnie wykorzystać kompetencje wszystkich członków zespołu oraz uniknąć powielania się wysiłków należy: </w:t>
            </w:r>
          </w:p>
          <w:p w14:paraId="60D83402" w14:textId="77777777" w:rsidR="000F6A2E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określić role i odpowiedzialności</w:t>
            </w:r>
            <w:r w:rsidR="000F6A2E" w:rsidRPr="00E33C93">
              <w:rPr>
                <w:sz w:val="18"/>
                <w:szCs w:val="20"/>
              </w:rPr>
              <w:t xml:space="preserve"> na każdym szczeblu; </w:t>
            </w:r>
          </w:p>
          <w:p w14:paraId="61501AAC" w14:textId="77777777" w:rsidR="000F6A2E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zbudować mapę odpowiedzialności</w:t>
            </w:r>
            <w:r w:rsidR="000F6A2E" w:rsidRPr="00E33C93">
              <w:rPr>
                <w:sz w:val="18"/>
                <w:szCs w:val="20"/>
              </w:rPr>
              <w:t>;</w:t>
            </w:r>
          </w:p>
          <w:p w14:paraId="591C328B" w14:textId="77777777" w:rsidR="008539F1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wskazać osoby koordynujące zadania re</w:t>
            </w:r>
            <w:r w:rsidR="000F6A2E" w:rsidRPr="00E33C93">
              <w:rPr>
                <w:sz w:val="18"/>
                <w:szCs w:val="20"/>
              </w:rPr>
              <w:t>alizowane poza głównym zespołem.</w:t>
            </w:r>
          </w:p>
          <w:p w14:paraId="29CBD437" w14:textId="77777777" w:rsidR="008539F1" w:rsidRPr="00E33C93" w:rsidRDefault="008539F1" w:rsidP="008B28D4">
            <w:p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5. Aby umożliwić efektywną realizację zadań dla ról pełnionych przez pracowników liniowych MC należy:   </w:t>
            </w:r>
          </w:p>
          <w:p w14:paraId="0B991408" w14:textId="77777777" w:rsidR="000F6A2E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wskazać osoby koordynujące zadania reali</w:t>
            </w:r>
            <w:r w:rsidR="000F6A2E" w:rsidRPr="00E33C93">
              <w:rPr>
                <w:sz w:val="18"/>
                <w:szCs w:val="20"/>
              </w:rPr>
              <w:t>zowane poza głównym zespołem;</w:t>
            </w:r>
          </w:p>
          <w:p w14:paraId="0AA2266A" w14:textId="77777777" w:rsidR="000F6A2E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przydzielić realny wymiar zaangażowania w zadania projektowe (10% dla większości ról jest wartością za małą, znacznie utrudniającą wyegzekwowanie realizacji zadań projektowych); </w:t>
            </w:r>
          </w:p>
          <w:p w14:paraId="09A86A22" w14:textId="77777777" w:rsidR="008539F1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regularnie spotykać się z całym zespołem informując o postępach prac i zadaniach realizowanych w projekcie. </w:t>
            </w:r>
          </w:p>
          <w:p w14:paraId="1CFC419E" w14:textId="2DE17692" w:rsidR="008539F1" w:rsidRPr="00E33C93" w:rsidRDefault="008539F1" w:rsidP="008B28D4">
            <w:p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6. Aby z</w:t>
            </w:r>
            <w:r w:rsidR="00456E5C">
              <w:rPr>
                <w:sz w:val="18"/>
                <w:szCs w:val="20"/>
              </w:rPr>
              <w:t>apewnić efektywne korzystanie z</w:t>
            </w:r>
            <w:r w:rsidRPr="00E33C93">
              <w:rPr>
                <w:sz w:val="18"/>
                <w:szCs w:val="20"/>
              </w:rPr>
              <w:t xml:space="preserve"> narzędzi (Sharepoint, JIRA, MS Teams, itp.) należy dla każdego narzędzia: </w:t>
            </w:r>
          </w:p>
          <w:p w14:paraId="146E04C5" w14:textId="77777777" w:rsidR="000F6A2E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ustalić z zespołem reguły korzystania z narzędzi;</w:t>
            </w:r>
          </w:p>
          <w:p w14:paraId="5BB9C026" w14:textId="77777777" w:rsidR="000F6A2E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ustalić z zespołem mechanizmy egzekwowania reguł;</w:t>
            </w:r>
          </w:p>
          <w:p w14:paraId="000D4FB2" w14:textId="77777777" w:rsidR="008539F1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konsekwentnie egzekwować reguły zgodnie z ustaleniami. </w:t>
            </w:r>
          </w:p>
          <w:p w14:paraId="19B703A2" w14:textId="77777777" w:rsidR="000F6A2E" w:rsidRPr="00E33C93" w:rsidRDefault="008539F1" w:rsidP="008B28D4">
            <w:p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7. Aby zapewnić efektywne wykorzystanie metodyki agile należy: </w:t>
            </w:r>
          </w:p>
          <w:p w14:paraId="1D131886" w14:textId="6712F531" w:rsidR="000F6A2E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ustalić i egzekwować zakres stosowania mechanizmów zwinnych w projekcie obejmujący jedynie fazę realizacji (implementacji) procesu wytwórczego. Z góry ustalony zakres projektu i kryteria akceptacji określone ustawą PZP uniemożliwiają zastosowanie podejścia zwinnego do całości</w:t>
            </w:r>
            <w:r w:rsidR="008B28D4">
              <w:rPr>
                <w:sz w:val="18"/>
                <w:szCs w:val="20"/>
              </w:rPr>
              <w:t xml:space="preserve"> procesu wytwórczego;</w:t>
            </w:r>
          </w:p>
          <w:p w14:paraId="00A0966F" w14:textId="293F66D8" w:rsidR="008539F1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zapewnić realny nadzór właściciela produktu (product owner) nad realizowanym zakresem w fazie realizacji (implementacji) poprzez obsadzenie i egzekwowanie tej roli w</w:t>
            </w:r>
            <w:r w:rsidR="008B28D4">
              <w:rPr>
                <w:sz w:val="18"/>
                <w:szCs w:val="20"/>
              </w:rPr>
              <w:t> zespole Zamawiającego;</w:t>
            </w:r>
          </w:p>
          <w:p w14:paraId="2BB7C1BE" w14:textId="7BF3B5FB" w:rsidR="000F6A2E" w:rsidRPr="00E33C93" w:rsidRDefault="008539F1" w:rsidP="008B28D4">
            <w:pPr>
              <w:pStyle w:val="Akapitzlist"/>
              <w:numPr>
                <w:ilvl w:val="0"/>
                <w:numId w:val="9"/>
              </w:numPr>
              <w:ind w:left="465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zapewnić realny nadzór scrum-mastera nad zespołem developerskim w fazie realizacji poprzez egzekwowani</w:t>
            </w:r>
            <w:r w:rsidR="008B28D4">
              <w:rPr>
                <w:sz w:val="18"/>
                <w:szCs w:val="20"/>
              </w:rPr>
              <w:t>e tej roli w zespole Wykonawcy;</w:t>
            </w:r>
          </w:p>
          <w:p w14:paraId="43907050" w14:textId="77777777" w:rsidR="008539F1" w:rsidRPr="00E33C93" w:rsidRDefault="008539F1" w:rsidP="008539F1">
            <w:pPr>
              <w:pStyle w:val="Akapitzlist"/>
              <w:numPr>
                <w:ilvl w:val="0"/>
                <w:numId w:val="9"/>
              </w:numPr>
              <w:ind w:left="465"/>
              <w:jc w:val="both"/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 xml:space="preserve">zapewnić właściwą komunikację w zespole developerskim poprzez egzekwować mechanizmu daily stand-up’ów. </w:t>
            </w:r>
          </w:p>
          <w:p w14:paraId="17318DAF" w14:textId="77777777" w:rsidR="000F6A2E" w:rsidRPr="00E33C93" w:rsidRDefault="000F6A2E" w:rsidP="000F6A2E">
            <w:pPr>
              <w:pStyle w:val="Akapitzlist"/>
              <w:ind w:left="465"/>
              <w:jc w:val="both"/>
              <w:rPr>
                <w:sz w:val="18"/>
                <w:szCs w:val="20"/>
              </w:rPr>
            </w:pPr>
          </w:p>
          <w:p w14:paraId="631541D9" w14:textId="77777777" w:rsidR="008539F1" w:rsidRPr="00E33C93" w:rsidRDefault="008539F1" w:rsidP="008539F1">
            <w:pPr>
              <w:jc w:val="both"/>
              <w:rPr>
                <w:b/>
                <w:sz w:val="18"/>
                <w:szCs w:val="20"/>
              </w:rPr>
            </w:pPr>
            <w:r w:rsidRPr="00E33C93">
              <w:rPr>
                <w:b/>
                <w:sz w:val="18"/>
                <w:szCs w:val="20"/>
              </w:rPr>
              <w:t>REKOMENDACJA WYELIMINOWANIA ZACHOWA</w:t>
            </w:r>
            <w:r w:rsidR="000F6A2E" w:rsidRPr="00E33C93">
              <w:rPr>
                <w:b/>
                <w:sz w:val="18"/>
                <w:szCs w:val="20"/>
              </w:rPr>
              <w:t xml:space="preserve">Ń (CZEGO NIE POWINNIŚMY ROBIĆ) </w:t>
            </w:r>
          </w:p>
          <w:p w14:paraId="418C026A" w14:textId="77777777" w:rsidR="008539F1" w:rsidRPr="00E33C93" w:rsidRDefault="008539F1" w:rsidP="008B28D4">
            <w:p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1. Należy unikać sytuacji wykonywania części zadań dostawcy (np. pretesty) przez wewnętrzny zespół projektowy w celu redukcji  zwiększających się opóźnień w harmonogramie projektowym, ponieważ rozmywa to jednoznaczność odpowiedzialności wykonawcy za jakość</w:t>
            </w:r>
            <w:r w:rsidR="000F6A2E" w:rsidRPr="00E33C93">
              <w:rPr>
                <w:sz w:val="18"/>
                <w:szCs w:val="20"/>
              </w:rPr>
              <w:t xml:space="preserve"> i terminowość prac. </w:t>
            </w:r>
          </w:p>
          <w:p w14:paraId="33457B85" w14:textId="77777777" w:rsidR="008539F1" w:rsidRPr="00E33C93" w:rsidRDefault="008539F1" w:rsidP="008B28D4">
            <w:p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2. Należy wyeliminować możliwość zatorów komunikacyjnych pomiędzy poziomami organizacyjnymi projektu poprzez usprawnienie wymiany informacji pomiędzy Komitetem Sterującym, Kierownictwem Projektu i Zespołem Operacyjnym w postaci egzekwowalnyc</w:t>
            </w:r>
            <w:r w:rsidR="000F6A2E" w:rsidRPr="00E33C93">
              <w:rPr>
                <w:sz w:val="18"/>
                <w:szCs w:val="20"/>
              </w:rPr>
              <w:t xml:space="preserve">h mechanizmów komunikacyjnych. </w:t>
            </w:r>
          </w:p>
          <w:p w14:paraId="0BA05D15" w14:textId="77777777" w:rsidR="008539F1" w:rsidRPr="00E33C93" w:rsidRDefault="008539F1" w:rsidP="008B28D4">
            <w:pPr>
              <w:rPr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t>3. Należy wyeliminować braki infrastruktury projektowej  utrudniające bądź uniemożliwiające efektywną pracę projektową (salki na spotkania/warsztaty, for</w:t>
            </w:r>
            <w:r w:rsidR="000F6A2E" w:rsidRPr="00E33C93">
              <w:rPr>
                <w:sz w:val="18"/>
                <w:szCs w:val="20"/>
              </w:rPr>
              <w:t xml:space="preserve">malne repozytorium projektowe) </w:t>
            </w:r>
          </w:p>
          <w:p w14:paraId="221FB836" w14:textId="77777777" w:rsidR="00314EA4" w:rsidRPr="00D93550" w:rsidRDefault="008539F1" w:rsidP="008B28D4">
            <w:pPr>
              <w:rPr>
                <w:i/>
                <w:sz w:val="18"/>
                <w:szCs w:val="20"/>
              </w:rPr>
            </w:pPr>
            <w:r w:rsidRPr="00E33C93">
              <w:rPr>
                <w:sz w:val="18"/>
                <w:szCs w:val="20"/>
              </w:rPr>
              <w:lastRenderedPageBreak/>
              <w:t xml:space="preserve">4. Należy unikać sytuacji, w której Ministerstwo Cyfryzacji (MC) występuje w roli Beneficjenta nie będąc odbiorcą produktów projektu. Wymusza to na MC konieczność egzekwowania założeń jakościowych, zasobowych i czasowych realizacji przy ograniczonej możliwości wpływu na wymagania </w:t>
            </w:r>
            <w:r w:rsidR="00D93550" w:rsidRPr="00E33C93">
              <w:rPr>
                <w:sz w:val="18"/>
                <w:szCs w:val="20"/>
              </w:rPr>
              <w:t>dotyczące wyniku końcowego.</w:t>
            </w:r>
            <w:r w:rsidR="00D93550">
              <w:rPr>
                <w:i/>
                <w:sz w:val="18"/>
                <w:szCs w:val="20"/>
              </w:rPr>
              <w:t xml:space="preserve">    </w:t>
            </w:r>
          </w:p>
        </w:tc>
      </w:tr>
    </w:tbl>
    <w:p w14:paraId="07A1C8D3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7F7D36" w16cid:durableId="218BEAEA"/>
  <w16cid:commentId w16cid:paraId="64A1E9F1" w16cid:durableId="218A5ED5"/>
  <w16cid:commentId w16cid:paraId="45903A72" w16cid:durableId="218A5ED6"/>
  <w16cid:commentId w16cid:paraId="491F12F0" w16cid:durableId="218A5ED7"/>
  <w16cid:commentId w16cid:paraId="0082241C" w16cid:durableId="218A5ED8"/>
  <w16cid:commentId w16cid:paraId="47C7EB39" w16cid:durableId="218BEF0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17643" w14:textId="77777777" w:rsidR="00C83ABC" w:rsidRDefault="00C83ABC" w:rsidP="001F18DD">
      <w:pPr>
        <w:spacing w:after="0" w:line="240" w:lineRule="auto"/>
      </w:pPr>
      <w:r>
        <w:separator/>
      </w:r>
    </w:p>
  </w:endnote>
  <w:endnote w:type="continuationSeparator" w:id="0">
    <w:p w14:paraId="21AB2F3D" w14:textId="77777777" w:rsidR="00C83ABC" w:rsidRDefault="00C83ABC" w:rsidP="001F1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330EF" w14:textId="77777777" w:rsidR="00C83ABC" w:rsidRDefault="00C83ABC" w:rsidP="001F18DD">
      <w:pPr>
        <w:spacing w:after="0" w:line="240" w:lineRule="auto"/>
      </w:pPr>
      <w:r>
        <w:separator/>
      </w:r>
    </w:p>
  </w:footnote>
  <w:footnote w:type="continuationSeparator" w:id="0">
    <w:p w14:paraId="3457ABEB" w14:textId="77777777" w:rsidR="00C83ABC" w:rsidRDefault="00C83ABC" w:rsidP="001F1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1840"/>
    <w:multiLevelType w:val="hybridMultilevel"/>
    <w:tmpl w:val="ECC25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D1A3A"/>
    <w:multiLevelType w:val="hybridMultilevel"/>
    <w:tmpl w:val="A1B40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7E6995"/>
    <w:multiLevelType w:val="hybridMultilevel"/>
    <w:tmpl w:val="9CA05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59B6"/>
    <w:multiLevelType w:val="hybridMultilevel"/>
    <w:tmpl w:val="DD56C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E1B70"/>
    <w:multiLevelType w:val="hybridMultilevel"/>
    <w:tmpl w:val="A44ED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B0503"/>
    <w:multiLevelType w:val="hybridMultilevel"/>
    <w:tmpl w:val="0CFC6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0"/>
  </w:num>
  <w:num w:numId="5">
    <w:abstractNumId w:val="9"/>
  </w:num>
  <w:num w:numId="6">
    <w:abstractNumId w:val="1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5BEB"/>
    <w:rsid w:val="00050691"/>
    <w:rsid w:val="00070257"/>
    <w:rsid w:val="00097FBD"/>
    <w:rsid w:val="000D3CA9"/>
    <w:rsid w:val="000D64A0"/>
    <w:rsid w:val="000E0C6F"/>
    <w:rsid w:val="000F6A2E"/>
    <w:rsid w:val="00135668"/>
    <w:rsid w:val="001455E8"/>
    <w:rsid w:val="001600BB"/>
    <w:rsid w:val="001806EC"/>
    <w:rsid w:val="001A2A81"/>
    <w:rsid w:val="001B092E"/>
    <w:rsid w:val="001C611C"/>
    <w:rsid w:val="001C6D7D"/>
    <w:rsid w:val="001F18DD"/>
    <w:rsid w:val="0021582D"/>
    <w:rsid w:val="002450C4"/>
    <w:rsid w:val="002921FA"/>
    <w:rsid w:val="002A153C"/>
    <w:rsid w:val="002A728C"/>
    <w:rsid w:val="002A753C"/>
    <w:rsid w:val="00301645"/>
    <w:rsid w:val="00314EA4"/>
    <w:rsid w:val="00335F72"/>
    <w:rsid w:val="003630E7"/>
    <w:rsid w:val="003A22D2"/>
    <w:rsid w:val="003B107D"/>
    <w:rsid w:val="003B7BD6"/>
    <w:rsid w:val="003D7919"/>
    <w:rsid w:val="003F754B"/>
    <w:rsid w:val="004046DC"/>
    <w:rsid w:val="00456E5C"/>
    <w:rsid w:val="00494AA4"/>
    <w:rsid w:val="004A571B"/>
    <w:rsid w:val="004A5854"/>
    <w:rsid w:val="004A6452"/>
    <w:rsid w:val="004B19FE"/>
    <w:rsid w:val="004D135D"/>
    <w:rsid w:val="005264F0"/>
    <w:rsid w:val="00581B67"/>
    <w:rsid w:val="0058262E"/>
    <w:rsid w:val="005A4344"/>
    <w:rsid w:val="005B132F"/>
    <w:rsid w:val="005D4188"/>
    <w:rsid w:val="006027B2"/>
    <w:rsid w:val="0060398E"/>
    <w:rsid w:val="00632AA0"/>
    <w:rsid w:val="00643672"/>
    <w:rsid w:val="00664E4F"/>
    <w:rsid w:val="00687AFE"/>
    <w:rsid w:val="00696CB5"/>
    <w:rsid w:val="006A7EBF"/>
    <w:rsid w:val="006B7454"/>
    <w:rsid w:val="006D3A55"/>
    <w:rsid w:val="00705A98"/>
    <w:rsid w:val="00716201"/>
    <w:rsid w:val="00734EED"/>
    <w:rsid w:val="007408A3"/>
    <w:rsid w:val="00743031"/>
    <w:rsid w:val="007437D9"/>
    <w:rsid w:val="00773523"/>
    <w:rsid w:val="007738F9"/>
    <w:rsid w:val="0078487B"/>
    <w:rsid w:val="007A0A3D"/>
    <w:rsid w:val="007C54F9"/>
    <w:rsid w:val="007C5CE3"/>
    <w:rsid w:val="007E2F1F"/>
    <w:rsid w:val="007E6098"/>
    <w:rsid w:val="007F63EF"/>
    <w:rsid w:val="00813FEF"/>
    <w:rsid w:val="00814C23"/>
    <w:rsid w:val="008213A6"/>
    <w:rsid w:val="008249F5"/>
    <w:rsid w:val="008303AC"/>
    <w:rsid w:val="008539F1"/>
    <w:rsid w:val="00857769"/>
    <w:rsid w:val="00862350"/>
    <w:rsid w:val="008632E4"/>
    <w:rsid w:val="00883878"/>
    <w:rsid w:val="008927DE"/>
    <w:rsid w:val="00892FF1"/>
    <w:rsid w:val="008B1973"/>
    <w:rsid w:val="008B28D4"/>
    <w:rsid w:val="008B28D7"/>
    <w:rsid w:val="008D6B4B"/>
    <w:rsid w:val="008E0416"/>
    <w:rsid w:val="008E3488"/>
    <w:rsid w:val="008F3CDD"/>
    <w:rsid w:val="008F5932"/>
    <w:rsid w:val="00905779"/>
    <w:rsid w:val="00906338"/>
    <w:rsid w:val="0092099A"/>
    <w:rsid w:val="00920CE8"/>
    <w:rsid w:val="00982DC4"/>
    <w:rsid w:val="009D3D41"/>
    <w:rsid w:val="009D79D5"/>
    <w:rsid w:val="009E1398"/>
    <w:rsid w:val="00A12836"/>
    <w:rsid w:val="00A1534B"/>
    <w:rsid w:val="00A522AB"/>
    <w:rsid w:val="00A6601B"/>
    <w:rsid w:val="00A710B2"/>
    <w:rsid w:val="00AA0CB9"/>
    <w:rsid w:val="00AA1C73"/>
    <w:rsid w:val="00AD1ED9"/>
    <w:rsid w:val="00AD279E"/>
    <w:rsid w:val="00AD7E5D"/>
    <w:rsid w:val="00B10F81"/>
    <w:rsid w:val="00B33C04"/>
    <w:rsid w:val="00B35E4D"/>
    <w:rsid w:val="00B57299"/>
    <w:rsid w:val="00B730BD"/>
    <w:rsid w:val="00B74376"/>
    <w:rsid w:val="00B925D2"/>
    <w:rsid w:val="00B93735"/>
    <w:rsid w:val="00BA5DEC"/>
    <w:rsid w:val="00BC120E"/>
    <w:rsid w:val="00BE252F"/>
    <w:rsid w:val="00BF1F92"/>
    <w:rsid w:val="00C37A3A"/>
    <w:rsid w:val="00C4172B"/>
    <w:rsid w:val="00C42446"/>
    <w:rsid w:val="00C546B0"/>
    <w:rsid w:val="00C56B53"/>
    <w:rsid w:val="00C67B9B"/>
    <w:rsid w:val="00C83ABC"/>
    <w:rsid w:val="00C948E6"/>
    <w:rsid w:val="00CA79E4"/>
    <w:rsid w:val="00CF4111"/>
    <w:rsid w:val="00D05E29"/>
    <w:rsid w:val="00D22A05"/>
    <w:rsid w:val="00D2582C"/>
    <w:rsid w:val="00D65F79"/>
    <w:rsid w:val="00D93550"/>
    <w:rsid w:val="00DB70A5"/>
    <w:rsid w:val="00DF777C"/>
    <w:rsid w:val="00E0372D"/>
    <w:rsid w:val="00E30008"/>
    <w:rsid w:val="00E33C93"/>
    <w:rsid w:val="00E36DD7"/>
    <w:rsid w:val="00E52249"/>
    <w:rsid w:val="00EC4E57"/>
    <w:rsid w:val="00EE0C9B"/>
    <w:rsid w:val="00EE3C31"/>
    <w:rsid w:val="00EF094D"/>
    <w:rsid w:val="00F00B67"/>
    <w:rsid w:val="00F32CAA"/>
    <w:rsid w:val="00F4105E"/>
    <w:rsid w:val="00F611EC"/>
    <w:rsid w:val="00F741B3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B3C3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8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18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8DD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09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9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2517</Words>
  <Characters>15106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Żmujdzin-Rozalska Alicja</cp:lastModifiedBy>
  <cp:revision>4</cp:revision>
  <dcterms:created xsi:type="dcterms:W3CDTF">2020-01-31T16:00:00Z</dcterms:created>
  <dcterms:modified xsi:type="dcterms:W3CDTF">2020-02-05T15:09:00Z</dcterms:modified>
</cp:coreProperties>
</file>